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9D" w:rsidRDefault="00614B27">
      <w:pPr>
        <w:pStyle w:val="Heading2"/>
        <w:rPr>
          <w:rFonts w:ascii="Calibri" w:hAnsi="Calibri"/>
          <w:i w:val="0"/>
        </w:rPr>
      </w:pPr>
      <w:r>
        <w:rPr>
          <w:rFonts w:ascii="Calibri" w:hAnsi="Calibri"/>
          <w:i w:val="0"/>
        </w:rPr>
        <w:t>CR-05 - Goals and Outcomes</w:t>
      </w:r>
    </w:p>
    <w:p w:rsidR="0011119D" w:rsidRDefault="00614B27">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EA3135" w:rsidRPr="00EA3135" w:rsidRDefault="00EA3135" w:rsidP="00EA3135">
      <w:pPr>
        <w:widowControl w:val="0"/>
        <w:spacing w:beforeAutospacing="1" w:afterAutospacing="1"/>
        <w:rPr>
          <w:szCs w:val="24"/>
        </w:rPr>
      </w:pPr>
      <w:r w:rsidRPr="00EA3135">
        <w:t>Program Year 2016 was the 13th year of the City of Bowling Green CDBG Entitlement Program since inception.   Year 13 is also the third year of the City’s current 5-year Consolidated Plan.  This Consolidated Plan prioritized the need to make investments into a targeted area of neighborhoods and census tracts that’s negative attributes stand out in comparison to the rest of the City’s census tracts.   The targeted area, BG Reinvestment Area, is composed of five census tracts, the City portion of one census tract, and the City portion of a census block group.  To address the specific needs of each individual neighborhood within the BG Reinvestment Area, the City started the Neighborhood Improvements Program.  During this program year HUD designated the Bowling Green Reinvestment Area as a Neighborhood Revitalization Strategy Area (NRSA).  The first neighborhood of focus in the NRSA is Census Block Group 105.2.  In this neighborhood three major projects began during Program Year 2016: Josephine Sidewalk Project, Reservoir Hill Park Improvements, and Private Property Improvements Program.</w:t>
      </w:r>
    </w:p>
    <w:p w:rsidR="00EA3135" w:rsidRPr="00EA3135" w:rsidRDefault="00EA3135" w:rsidP="00EA3135">
      <w:pPr>
        <w:widowControl w:val="0"/>
        <w:spacing w:beforeAutospacing="1" w:afterAutospacing="1"/>
        <w:rPr>
          <w:szCs w:val="24"/>
        </w:rPr>
      </w:pPr>
      <w:r w:rsidRPr="00EA3135">
        <w:t>During Program Year 2016 the City also amended its Consolidated Plan to, starting Program Year 2017</w:t>
      </w:r>
      <w:proofErr w:type="gramStart"/>
      <w:r w:rsidRPr="00EA3135">
        <w:t>,  allocate</w:t>
      </w:r>
      <w:proofErr w:type="gramEnd"/>
      <w:r w:rsidRPr="00EA3135">
        <w:t xml:space="preserve"> 80% of its annual funding to neighborhood improvements in the BG Reinvestment Area.  During Program Year 2016 and an in recent years 20% of funds were allocated to local agencies through a competitive application process, 20% to administration and fair housing activities, and 60% to neighborhood improvements.  For Program Year 2016 the following local agencies were allocated funding for public services and economic development programs:  Bowling Green-Warren County Welfare Center, Bowling Green Human Rights Commission, Housing Authority of Bowling Green, Big Brothers Big Sisters of South Central Kentucky, Community Action of Southern Kentucky, United Way of Southern Kentucky, and South Central Kentucky Kids on the Block.</w:t>
      </w:r>
    </w:p>
    <w:p w:rsidR="0011119D" w:rsidRDefault="0011119D">
      <w:pPr>
        <w:keepNext/>
        <w:widowControl w:val="0"/>
        <w:spacing w:after="0" w:line="240" w:lineRule="auto"/>
        <w:rPr>
          <w:b/>
        </w:rPr>
      </w:pPr>
    </w:p>
    <w:p w:rsidR="00EA3135" w:rsidRDefault="00EA3135">
      <w:pPr>
        <w:keepNext/>
        <w:widowControl w:val="0"/>
        <w:spacing w:after="0" w:line="240" w:lineRule="auto"/>
        <w:rPr>
          <w:b/>
        </w:rPr>
      </w:pPr>
    </w:p>
    <w:p w:rsidR="0011119D" w:rsidRDefault="00614B27">
      <w:pPr>
        <w:keepNext/>
        <w:widowControl w:val="0"/>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rsidR="0011119D" w:rsidRDefault="00614B27">
      <w:pPr>
        <w:keepNext/>
        <w:widowControl w:val="0"/>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rsidR="0011119D" w:rsidRDefault="0011119D">
      <w:pPr>
        <w:widowControl w:val="0"/>
        <w:rPr>
          <w:b/>
          <w:sz w:val="24"/>
          <w:szCs w:val="24"/>
        </w:rPr>
      </w:pPr>
    </w:p>
    <w:tbl>
      <w:tblPr>
        <w:tblStyle w:val="TableGrid"/>
        <w:tblW w:w="13728" w:type="dxa"/>
        <w:tblInd w:w="0" w:type="dxa"/>
        <w:tblLook w:val="04A0" w:firstRow="1" w:lastRow="0" w:firstColumn="1" w:lastColumn="0" w:noHBand="0" w:noVBand="1"/>
      </w:tblPr>
      <w:tblGrid>
        <w:gridCol w:w="1658"/>
        <w:gridCol w:w="1685"/>
        <w:gridCol w:w="914"/>
        <w:gridCol w:w="2158"/>
        <w:gridCol w:w="1334"/>
        <w:gridCol w:w="992"/>
        <w:gridCol w:w="967"/>
        <w:gridCol w:w="1040"/>
        <w:gridCol w:w="992"/>
        <w:gridCol w:w="949"/>
        <w:gridCol w:w="1039"/>
      </w:tblGrid>
      <w:tr w:rsidR="0011119D">
        <w:tc>
          <w:tcPr>
            <w:tcW w:w="1248" w:type="dxa"/>
          </w:tcPr>
          <w:p w:rsidR="0011119D" w:rsidRDefault="00614B27">
            <w:pPr>
              <w:keepNext/>
              <w:widowControl w:val="0"/>
              <w:spacing w:after="0" w:line="240" w:lineRule="auto"/>
              <w:rPr>
                <w:b/>
              </w:rPr>
            </w:pPr>
            <w:r>
              <w:rPr>
                <w:b/>
              </w:rPr>
              <w:t>Goal</w:t>
            </w:r>
          </w:p>
        </w:tc>
        <w:tc>
          <w:tcPr>
            <w:tcW w:w="1248" w:type="dxa"/>
          </w:tcPr>
          <w:p w:rsidR="0011119D" w:rsidRDefault="00614B27">
            <w:pPr>
              <w:keepNext/>
              <w:widowControl w:val="0"/>
              <w:spacing w:after="0" w:line="240" w:lineRule="auto"/>
              <w:rPr>
                <w:b/>
              </w:rPr>
            </w:pPr>
            <w:r>
              <w:rPr>
                <w:b/>
              </w:rPr>
              <w:t>Category</w:t>
            </w:r>
          </w:p>
        </w:tc>
        <w:tc>
          <w:tcPr>
            <w:tcW w:w="1248" w:type="dxa"/>
          </w:tcPr>
          <w:p w:rsidR="0011119D" w:rsidRDefault="00614B27">
            <w:pPr>
              <w:keepNext/>
              <w:widowControl w:val="0"/>
              <w:spacing w:after="0" w:line="240" w:lineRule="auto"/>
              <w:rPr>
                <w:b/>
              </w:rPr>
            </w:pPr>
            <w:r>
              <w:rPr>
                <w:b/>
              </w:rPr>
              <w:t>Source / Amount</w:t>
            </w:r>
          </w:p>
        </w:tc>
        <w:tc>
          <w:tcPr>
            <w:tcW w:w="1248" w:type="dxa"/>
          </w:tcPr>
          <w:p w:rsidR="0011119D" w:rsidRDefault="00614B27">
            <w:pPr>
              <w:keepNext/>
              <w:widowControl w:val="0"/>
              <w:spacing w:after="0" w:line="240" w:lineRule="auto"/>
              <w:rPr>
                <w:b/>
              </w:rPr>
            </w:pPr>
            <w:r>
              <w:rPr>
                <w:b/>
              </w:rPr>
              <w:t>Indicator</w:t>
            </w:r>
          </w:p>
        </w:tc>
        <w:tc>
          <w:tcPr>
            <w:tcW w:w="1248" w:type="dxa"/>
          </w:tcPr>
          <w:p w:rsidR="0011119D" w:rsidRDefault="00614B27">
            <w:pPr>
              <w:keepNext/>
              <w:widowControl w:val="0"/>
              <w:spacing w:after="0" w:line="240" w:lineRule="auto"/>
              <w:rPr>
                <w:b/>
              </w:rPr>
            </w:pPr>
            <w:r>
              <w:rPr>
                <w:b/>
              </w:rPr>
              <w:t>Unit of Measure</w:t>
            </w:r>
          </w:p>
        </w:tc>
        <w:tc>
          <w:tcPr>
            <w:tcW w:w="1248" w:type="dxa"/>
          </w:tcPr>
          <w:p w:rsidR="0011119D" w:rsidRDefault="00614B27">
            <w:pPr>
              <w:keepNext/>
              <w:widowControl w:val="0"/>
              <w:spacing w:after="0" w:line="240" w:lineRule="auto"/>
              <w:rPr>
                <w:b/>
              </w:rPr>
            </w:pPr>
            <w:r>
              <w:rPr>
                <w:b/>
              </w:rPr>
              <w:t>Expected – Strategic Plan</w:t>
            </w:r>
          </w:p>
        </w:tc>
        <w:tc>
          <w:tcPr>
            <w:tcW w:w="1248" w:type="dxa"/>
          </w:tcPr>
          <w:p w:rsidR="0011119D" w:rsidRDefault="00614B27">
            <w:pPr>
              <w:keepNext/>
              <w:widowControl w:val="0"/>
              <w:spacing w:after="0" w:line="240" w:lineRule="auto"/>
              <w:rPr>
                <w:b/>
              </w:rPr>
            </w:pPr>
            <w:r>
              <w:rPr>
                <w:b/>
              </w:rPr>
              <w:t>Actual – Strategic Plan</w:t>
            </w:r>
          </w:p>
        </w:tc>
        <w:tc>
          <w:tcPr>
            <w:tcW w:w="1248" w:type="dxa"/>
          </w:tcPr>
          <w:p w:rsidR="0011119D" w:rsidRDefault="00614B27">
            <w:pPr>
              <w:keepNext/>
              <w:widowControl w:val="0"/>
              <w:spacing w:after="0" w:line="240" w:lineRule="auto"/>
              <w:rPr>
                <w:b/>
              </w:rPr>
            </w:pPr>
            <w:r>
              <w:rPr>
                <w:b/>
              </w:rPr>
              <w:t>Percent Complete</w:t>
            </w:r>
          </w:p>
        </w:tc>
        <w:tc>
          <w:tcPr>
            <w:tcW w:w="1248" w:type="dxa"/>
          </w:tcPr>
          <w:p w:rsidR="0011119D" w:rsidRDefault="00614B27">
            <w:pPr>
              <w:keepNext/>
              <w:widowControl w:val="0"/>
              <w:spacing w:after="0" w:line="240" w:lineRule="auto"/>
              <w:rPr>
                <w:b/>
              </w:rPr>
            </w:pPr>
            <w:r>
              <w:rPr>
                <w:b/>
              </w:rPr>
              <w:t>Expected – Program Year</w:t>
            </w:r>
          </w:p>
        </w:tc>
        <w:tc>
          <w:tcPr>
            <w:tcW w:w="1248" w:type="dxa"/>
          </w:tcPr>
          <w:p w:rsidR="0011119D" w:rsidRDefault="00614B27">
            <w:pPr>
              <w:keepNext/>
              <w:widowControl w:val="0"/>
              <w:spacing w:after="0" w:line="240" w:lineRule="auto"/>
              <w:rPr>
                <w:b/>
              </w:rPr>
            </w:pPr>
            <w:r>
              <w:rPr>
                <w:b/>
              </w:rPr>
              <w:t>Actual – Program Year</w:t>
            </w:r>
          </w:p>
        </w:tc>
        <w:tc>
          <w:tcPr>
            <w:tcW w:w="1248" w:type="dxa"/>
          </w:tcPr>
          <w:p w:rsidR="0011119D" w:rsidRDefault="00614B27">
            <w:pPr>
              <w:keepNext/>
              <w:widowControl w:val="0"/>
              <w:spacing w:after="0" w:line="240" w:lineRule="auto"/>
              <w:rPr>
                <w:b/>
              </w:rPr>
            </w:pPr>
            <w:r>
              <w:rPr>
                <w:b/>
              </w:rPr>
              <w:t>Percent Complete</w:t>
            </w:r>
          </w:p>
        </w:tc>
      </w:tr>
      <w:tr w:rsidR="0011119D">
        <w:trPr>
          <w:cantSplit/>
        </w:trPr>
        <w:tc>
          <w:tcPr>
            <w:tcW w:w="0" w:type="auto"/>
            <w:vAlign w:val="center"/>
          </w:tcPr>
          <w:p w:rsidR="0011119D" w:rsidRDefault="00614B27">
            <w:pPr>
              <w:spacing w:beforeAutospacing="1" w:afterAutospacing="1"/>
            </w:pPr>
            <w:r>
              <w:rPr>
                <w:color w:val="000000"/>
                <w:sz w:val="22"/>
              </w:rPr>
              <w:t>Administration</w:t>
            </w:r>
          </w:p>
        </w:tc>
        <w:tc>
          <w:tcPr>
            <w:tcW w:w="0" w:type="auto"/>
            <w:vAlign w:val="center"/>
          </w:tcPr>
          <w:p w:rsidR="0011119D" w:rsidRDefault="00614B27">
            <w:pPr>
              <w:spacing w:beforeAutospacing="1" w:afterAutospacing="1"/>
            </w:pPr>
            <w:r>
              <w:rPr>
                <w:color w:val="000000"/>
                <w:sz w:val="22"/>
              </w:rPr>
              <w:t>Administration</w:t>
            </w:r>
          </w:p>
        </w:tc>
        <w:tc>
          <w:tcPr>
            <w:tcW w:w="0" w:type="auto"/>
            <w:vAlign w:val="center"/>
          </w:tcPr>
          <w:p w:rsidR="0011119D" w:rsidRDefault="00614B27">
            <w:pPr>
              <w:spacing w:beforeAutospacing="1" w:afterAutospacing="1"/>
            </w:pPr>
            <w:r>
              <w:rPr>
                <w:color w:val="000000"/>
                <w:sz w:val="22"/>
              </w:rPr>
              <w:t>CDBG: $</w:t>
            </w:r>
          </w:p>
        </w:tc>
        <w:tc>
          <w:tcPr>
            <w:tcW w:w="0" w:type="auto"/>
            <w:vAlign w:val="center"/>
          </w:tcPr>
          <w:p w:rsidR="0011119D" w:rsidRDefault="00614B27">
            <w:pPr>
              <w:spacing w:beforeAutospacing="1" w:afterAutospacing="1"/>
            </w:pPr>
            <w:r>
              <w:rPr>
                <w:color w:val="000000"/>
                <w:sz w:val="22"/>
              </w:rPr>
              <w:t>Other</w:t>
            </w:r>
          </w:p>
        </w:tc>
        <w:tc>
          <w:tcPr>
            <w:tcW w:w="0" w:type="auto"/>
            <w:vAlign w:val="center"/>
          </w:tcPr>
          <w:p w:rsidR="0011119D" w:rsidRDefault="00614B27">
            <w:pPr>
              <w:spacing w:beforeAutospacing="1" w:afterAutospacing="1"/>
            </w:pPr>
            <w:r>
              <w:rPr>
                <w:color w:val="000000"/>
                <w:sz w:val="22"/>
              </w:rPr>
              <w:t>Other</w:t>
            </w:r>
          </w:p>
        </w:tc>
        <w:tc>
          <w:tcPr>
            <w:tcW w:w="0" w:type="auto"/>
            <w:vAlign w:val="center"/>
          </w:tcPr>
          <w:p w:rsidR="0011119D" w:rsidRDefault="00614B27">
            <w:pPr>
              <w:spacing w:beforeAutospacing="1" w:afterAutospacing="1"/>
            </w:pPr>
            <w:r>
              <w:rPr>
                <w:color w:val="000000"/>
                <w:sz w:val="22"/>
              </w:rPr>
              <w:t>1</w:t>
            </w:r>
          </w:p>
        </w:tc>
        <w:tc>
          <w:tcPr>
            <w:tcW w:w="0" w:type="auto"/>
            <w:vAlign w:val="center"/>
          </w:tcPr>
          <w:p w:rsidR="0011119D" w:rsidRDefault="00614B27">
            <w:pPr>
              <w:spacing w:beforeAutospacing="1" w:afterAutospacing="1"/>
            </w:pPr>
            <w:r>
              <w:rPr>
                <w:color w:val="000000"/>
                <w:sz w:val="22"/>
              </w:rPr>
              <w:t>0</w:t>
            </w:r>
          </w:p>
        </w:tc>
        <w:tc>
          <w:tcPr>
            <w:tcW w:w="0" w:type="auto"/>
            <w:vAlign w:val="center"/>
          </w:tcPr>
          <w:p w:rsidR="0011119D" w:rsidRDefault="00614B27">
            <w:pPr>
              <w:spacing w:beforeAutospacing="1" w:afterAutospacing="1"/>
            </w:pPr>
            <w:r>
              <w:rPr>
                <w:color w:val="000000"/>
                <w:sz w:val="22"/>
              </w:rPr>
              <w:t xml:space="preserve">         0.00%</w:t>
            </w:r>
          </w:p>
        </w:tc>
        <w:tc>
          <w:tcPr>
            <w:tcW w:w="0" w:type="auto"/>
            <w:vAlign w:val="center"/>
          </w:tcPr>
          <w:p w:rsidR="0011119D" w:rsidRDefault="00614B27">
            <w:pPr>
              <w:spacing w:beforeAutospacing="1" w:afterAutospacing="1"/>
            </w:pPr>
            <w:r>
              <w:rPr>
                <w:color w:val="000000"/>
                <w:sz w:val="22"/>
              </w:rPr>
              <w:t xml:space="preserve"> </w:t>
            </w:r>
          </w:p>
        </w:tc>
        <w:tc>
          <w:tcPr>
            <w:tcW w:w="0" w:type="auto"/>
            <w:vAlign w:val="center"/>
          </w:tcPr>
          <w:p w:rsidR="0011119D" w:rsidRDefault="00614B27">
            <w:pPr>
              <w:spacing w:beforeAutospacing="1" w:afterAutospacing="1"/>
            </w:pPr>
            <w:r>
              <w:rPr>
                <w:color w:val="000000"/>
                <w:sz w:val="22"/>
              </w:rPr>
              <w:t xml:space="preserve"> </w:t>
            </w:r>
          </w:p>
        </w:tc>
        <w:tc>
          <w:tcPr>
            <w:tcW w:w="0" w:type="auto"/>
            <w:vAlign w:val="center"/>
          </w:tcPr>
          <w:p w:rsidR="0011119D" w:rsidRDefault="00614B27">
            <w:pPr>
              <w:spacing w:beforeAutospacing="1" w:afterAutospacing="1"/>
            </w:pPr>
            <w:r>
              <w:rPr>
                <w:color w:val="000000"/>
                <w:sz w:val="22"/>
              </w:rPr>
              <w:t xml:space="preserve"> </w:t>
            </w:r>
          </w:p>
        </w:tc>
      </w:tr>
      <w:tr w:rsidR="0011119D">
        <w:trPr>
          <w:cantSplit/>
        </w:trPr>
        <w:tc>
          <w:tcPr>
            <w:tcW w:w="0" w:type="auto"/>
            <w:vAlign w:val="center"/>
          </w:tcPr>
          <w:p w:rsidR="0011119D" w:rsidRDefault="00614B27">
            <w:pPr>
              <w:spacing w:beforeAutospacing="1" w:afterAutospacing="1"/>
            </w:pPr>
            <w:r>
              <w:rPr>
                <w:color w:val="000000"/>
                <w:sz w:val="22"/>
              </w:rPr>
              <w:t>Economic Opportunity</w:t>
            </w:r>
          </w:p>
        </w:tc>
        <w:tc>
          <w:tcPr>
            <w:tcW w:w="0" w:type="auto"/>
            <w:vAlign w:val="center"/>
          </w:tcPr>
          <w:p w:rsidR="0011119D" w:rsidRDefault="00614B27">
            <w:pPr>
              <w:spacing w:beforeAutospacing="1" w:afterAutospacing="1"/>
            </w:pPr>
            <w:r>
              <w:rPr>
                <w:color w:val="000000"/>
                <w:sz w:val="22"/>
              </w:rPr>
              <w:t>Non-Housing Community Development</w:t>
            </w:r>
          </w:p>
        </w:tc>
        <w:tc>
          <w:tcPr>
            <w:tcW w:w="0" w:type="auto"/>
            <w:vAlign w:val="center"/>
          </w:tcPr>
          <w:p w:rsidR="0011119D" w:rsidRDefault="00614B27">
            <w:pPr>
              <w:spacing w:beforeAutospacing="1" w:afterAutospacing="1"/>
            </w:pPr>
            <w:r>
              <w:rPr>
                <w:color w:val="000000"/>
                <w:sz w:val="22"/>
              </w:rPr>
              <w:t>CDBG: $</w:t>
            </w:r>
          </w:p>
        </w:tc>
        <w:tc>
          <w:tcPr>
            <w:tcW w:w="0" w:type="auto"/>
            <w:vAlign w:val="center"/>
          </w:tcPr>
          <w:p w:rsidR="0011119D" w:rsidRDefault="00614B27">
            <w:pPr>
              <w:spacing w:beforeAutospacing="1" w:afterAutospacing="1"/>
            </w:pPr>
            <w:r>
              <w:rPr>
                <w:color w:val="000000"/>
                <w:sz w:val="22"/>
              </w:rPr>
              <w:t>Public service activities other than Low/Moderate Income Housing Benefit</w:t>
            </w:r>
          </w:p>
        </w:tc>
        <w:tc>
          <w:tcPr>
            <w:tcW w:w="0" w:type="auto"/>
            <w:vAlign w:val="center"/>
          </w:tcPr>
          <w:p w:rsidR="0011119D" w:rsidRDefault="00614B27">
            <w:pPr>
              <w:spacing w:beforeAutospacing="1" w:afterAutospacing="1"/>
            </w:pPr>
            <w:r>
              <w:rPr>
                <w:color w:val="000000"/>
                <w:sz w:val="22"/>
              </w:rPr>
              <w:t>Persons Assisted</w:t>
            </w:r>
          </w:p>
        </w:tc>
        <w:tc>
          <w:tcPr>
            <w:tcW w:w="0" w:type="auto"/>
            <w:vAlign w:val="center"/>
          </w:tcPr>
          <w:p w:rsidR="0011119D" w:rsidRDefault="00614B27">
            <w:pPr>
              <w:spacing w:beforeAutospacing="1" w:afterAutospacing="1"/>
            </w:pPr>
            <w:r>
              <w:rPr>
                <w:color w:val="000000"/>
                <w:sz w:val="22"/>
              </w:rPr>
              <w:t>50</w:t>
            </w:r>
          </w:p>
        </w:tc>
        <w:tc>
          <w:tcPr>
            <w:tcW w:w="0" w:type="auto"/>
            <w:vAlign w:val="center"/>
          </w:tcPr>
          <w:p w:rsidR="0011119D" w:rsidRDefault="00614B27">
            <w:pPr>
              <w:spacing w:beforeAutospacing="1" w:afterAutospacing="1"/>
            </w:pPr>
            <w:r>
              <w:rPr>
                <w:color w:val="000000"/>
                <w:sz w:val="22"/>
              </w:rPr>
              <w:t>105</w:t>
            </w:r>
          </w:p>
        </w:tc>
        <w:tc>
          <w:tcPr>
            <w:tcW w:w="0" w:type="auto"/>
            <w:vAlign w:val="center"/>
          </w:tcPr>
          <w:p w:rsidR="0011119D" w:rsidRDefault="00614B27">
            <w:pPr>
              <w:spacing w:beforeAutospacing="1" w:afterAutospacing="1"/>
            </w:pPr>
            <w:r>
              <w:rPr>
                <w:color w:val="000000"/>
                <w:sz w:val="22"/>
              </w:rPr>
              <w:t xml:space="preserve">       210.00%</w:t>
            </w:r>
          </w:p>
        </w:tc>
        <w:tc>
          <w:tcPr>
            <w:tcW w:w="0" w:type="auto"/>
            <w:vAlign w:val="center"/>
          </w:tcPr>
          <w:p w:rsidR="0011119D" w:rsidRDefault="00614B27">
            <w:pPr>
              <w:spacing w:beforeAutospacing="1" w:afterAutospacing="1"/>
            </w:pPr>
            <w:r>
              <w:rPr>
                <w:color w:val="000000"/>
                <w:sz w:val="22"/>
              </w:rPr>
              <w:t>135</w:t>
            </w:r>
          </w:p>
        </w:tc>
        <w:tc>
          <w:tcPr>
            <w:tcW w:w="0" w:type="auto"/>
            <w:vAlign w:val="center"/>
          </w:tcPr>
          <w:p w:rsidR="0011119D" w:rsidRDefault="00D0647A">
            <w:pPr>
              <w:spacing w:beforeAutospacing="1" w:afterAutospacing="1"/>
            </w:pPr>
            <w:r>
              <w:rPr>
                <w:color w:val="000000"/>
                <w:sz w:val="22"/>
              </w:rPr>
              <w:t>134</w:t>
            </w:r>
          </w:p>
        </w:tc>
        <w:tc>
          <w:tcPr>
            <w:tcW w:w="0" w:type="auto"/>
            <w:vAlign w:val="center"/>
          </w:tcPr>
          <w:p w:rsidR="0011119D" w:rsidRDefault="00614B27" w:rsidP="00D0647A">
            <w:pPr>
              <w:spacing w:beforeAutospacing="1" w:afterAutospacing="1"/>
            </w:pPr>
            <w:r>
              <w:rPr>
                <w:color w:val="000000"/>
                <w:sz w:val="22"/>
              </w:rPr>
              <w:t xml:space="preserve">        </w:t>
            </w:r>
            <w:r w:rsidR="00D0647A">
              <w:rPr>
                <w:color w:val="000000"/>
                <w:sz w:val="22"/>
              </w:rPr>
              <w:t>99.25</w:t>
            </w:r>
            <w:r>
              <w:rPr>
                <w:color w:val="000000"/>
                <w:sz w:val="22"/>
              </w:rPr>
              <w:t>%</w:t>
            </w:r>
          </w:p>
        </w:tc>
      </w:tr>
      <w:tr w:rsidR="0011119D">
        <w:trPr>
          <w:cantSplit/>
        </w:trPr>
        <w:tc>
          <w:tcPr>
            <w:tcW w:w="0" w:type="auto"/>
            <w:vAlign w:val="center"/>
          </w:tcPr>
          <w:p w:rsidR="0011119D" w:rsidRDefault="00614B27">
            <w:pPr>
              <w:spacing w:beforeAutospacing="1" w:afterAutospacing="1"/>
            </w:pPr>
            <w:r>
              <w:rPr>
                <w:color w:val="000000"/>
                <w:sz w:val="22"/>
              </w:rPr>
              <w:t>Economic Opportunity</w:t>
            </w:r>
          </w:p>
        </w:tc>
        <w:tc>
          <w:tcPr>
            <w:tcW w:w="0" w:type="auto"/>
            <w:vAlign w:val="center"/>
          </w:tcPr>
          <w:p w:rsidR="0011119D" w:rsidRDefault="00614B27">
            <w:pPr>
              <w:spacing w:beforeAutospacing="1" w:afterAutospacing="1"/>
            </w:pPr>
            <w:r>
              <w:rPr>
                <w:color w:val="000000"/>
                <w:sz w:val="22"/>
              </w:rPr>
              <w:t>Non-Housing Community Development</w:t>
            </w:r>
          </w:p>
        </w:tc>
        <w:tc>
          <w:tcPr>
            <w:tcW w:w="0" w:type="auto"/>
            <w:vAlign w:val="center"/>
          </w:tcPr>
          <w:p w:rsidR="0011119D" w:rsidRDefault="00614B27">
            <w:pPr>
              <w:spacing w:beforeAutospacing="1" w:afterAutospacing="1"/>
            </w:pPr>
            <w:r>
              <w:rPr>
                <w:color w:val="000000"/>
                <w:sz w:val="22"/>
              </w:rPr>
              <w:t>CDBG: $</w:t>
            </w:r>
          </w:p>
        </w:tc>
        <w:tc>
          <w:tcPr>
            <w:tcW w:w="0" w:type="auto"/>
            <w:vAlign w:val="center"/>
          </w:tcPr>
          <w:p w:rsidR="0011119D" w:rsidRDefault="00614B27">
            <w:pPr>
              <w:spacing w:beforeAutospacing="1" w:afterAutospacing="1"/>
            </w:pPr>
            <w:r>
              <w:rPr>
                <w:color w:val="000000"/>
                <w:sz w:val="22"/>
              </w:rPr>
              <w:t>Jobs created/retained</w:t>
            </w:r>
          </w:p>
        </w:tc>
        <w:tc>
          <w:tcPr>
            <w:tcW w:w="0" w:type="auto"/>
            <w:vAlign w:val="center"/>
          </w:tcPr>
          <w:p w:rsidR="0011119D" w:rsidRDefault="00614B27">
            <w:pPr>
              <w:spacing w:beforeAutospacing="1" w:afterAutospacing="1"/>
            </w:pPr>
            <w:r>
              <w:rPr>
                <w:color w:val="000000"/>
                <w:sz w:val="22"/>
              </w:rPr>
              <w:t>Jobs</w:t>
            </w:r>
          </w:p>
        </w:tc>
        <w:tc>
          <w:tcPr>
            <w:tcW w:w="0" w:type="auto"/>
            <w:vAlign w:val="center"/>
          </w:tcPr>
          <w:p w:rsidR="0011119D" w:rsidRDefault="00614B27">
            <w:pPr>
              <w:spacing w:beforeAutospacing="1" w:afterAutospacing="1"/>
            </w:pPr>
            <w:r>
              <w:rPr>
                <w:color w:val="000000"/>
                <w:sz w:val="22"/>
              </w:rPr>
              <w:t>25</w:t>
            </w:r>
          </w:p>
        </w:tc>
        <w:tc>
          <w:tcPr>
            <w:tcW w:w="0" w:type="auto"/>
            <w:vAlign w:val="center"/>
          </w:tcPr>
          <w:p w:rsidR="0011119D" w:rsidRDefault="00614B27">
            <w:pPr>
              <w:spacing w:beforeAutospacing="1" w:afterAutospacing="1"/>
            </w:pPr>
            <w:r>
              <w:rPr>
                <w:color w:val="000000"/>
                <w:sz w:val="22"/>
              </w:rPr>
              <w:t>30</w:t>
            </w:r>
          </w:p>
        </w:tc>
        <w:tc>
          <w:tcPr>
            <w:tcW w:w="0" w:type="auto"/>
            <w:vAlign w:val="center"/>
          </w:tcPr>
          <w:p w:rsidR="0011119D" w:rsidRDefault="00614B27">
            <w:pPr>
              <w:spacing w:beforeAutospacing="1" w:afterAutospacing="1"/>
            </w:pPr>
            <w:r>
              <w:rPr>
                <w:color w:val="000000"/>
                <w:sz w:val="22"/>
              </w:rPr>
              <w:t xml:space="preserve">       120.00%</w:t>
            </w:r>
          </w:p>
        </w:tc>
        <w:tc>
          <w:tcPr>
            <w:tcW w:w="0" w:type="auto"/>
            <w:vAlign w:val="center"/>
          </w:tcPr>
          <w:p w:rsidR="0011119D" w:rsidRDefault="00614B27">
            <w:pPr>
              <w:spacing w:beforeAutospacing="1" w:afterAutospacing="1"/>
            </w:pPr>
            <w:r>
              <w:rPr>
                <w:color w:val="000000"/>
                <w:sz w:val="22"/>
              </w:rPr>
              <w:t xml:space="preserve"> </w:t>
            </w:r>
          </w:p>
        </w:tc>
        <w:tc>
          <w:tcPr>
            <w:tcW w:w="0" w:type="auto"/>
            <w:vAlign w:val="center"/>
          </w:tcPr>
          <w:p w:rsidR="0011119D" w:rsidRDefault="00614B27">
            <w:pPr>
              <w:spacing w:beforeAutospacing="1" w:afterAutospacing="1"/>
            </w:pPr>
            <w:r>
              <w:rPr>
                <w:color w:val="000000"/>
                <w:sz w:val="22"/>
              </w:rPr>
              <w:t xml:space="preserve"> </w:t>
            </w:r>
            <w:r w:rsidR="00D0647A">
              <w:rPr>
                <w:color w:val="000000"/>
                <w:sz w:val="22"/>
              </w:rPr>
              <w:t>3</w:t>
            </w:r>
          </w:p>
        </w:tc>
        <w:tc>
          <w:tcPr>
            <w:tcW w:w="0" w:type="auto"/>
            <w:vAlign w:val="center"/>
          </w:tcPr>
          <w:p w:rsidR="0011119D" w:rsidRDefault="00614B27">
            <w:pPr>
              <w:spacing w:beforeAutospacing="1" w:afterAutospacing="1"/>
            </w:pPr>
            <w:r>
              <w:rPr>
                <w:color w:val="000000"/>
                <w:sz w:val="22"/>
              </w:rPr>
              <w:t xml:space="preserve"> </w:t>
            </w:r>
            <w:r w:rsidR="00D0647A">
              <w:rPr>
                <w:color w:val="000000"/>
                <w:sz w:val="22"/>
              </w:rPr>
              <w:t>300%</w:t>
            </w:r>
          </w:p>
        </w:tc>
      </w:tr>
      <w:tr w:rsidR="0011119D">
        <w:trPr>
          <w:cantSplit/>
        </w:trPr>
        <w:tc>
          <w:tcPr>
            <w:tcW w:w="0" w:type="auto"/>
            <w:vAlign w:val="center"/>
          </w:tcPr>
          <w:p w:rsidR="0011119D" w:rsidRDefault="00614B27">
            <w:pPr>
              <w:spacing w:beforeAutospacing="1" w:afterAutospacing="1"/>
            </w:pPr>
            <w:r>
              <w:rPr>
                <w:color w:val="000000"/>
                <w:sz w:val="22"/>
              </w:rPr>
              <w:t>Economic Opportunity</w:t>
            </w:r>
          </w:p>
        </w:tc>
        <w:tc>
          <w:tcPr>
            <w:tcW w:w="0" w:type="auto"/>
            <w:vAlign w:val="center"/>
          </w:tcPr>
          <w:p w:rsidR="0011119D" w:rsidRDefault="00614B27">
            <w:pPr>
              <w:spacing w:beforeAutospacing="1" w:afterAutospacing="1"/>
            </w:pPr>
            <w:r>
              <w:rPr>
                <w:color w:val="000000"/>
                <w:sz w:val="22"/>
              </w:rPr>
              <w:t>Non-Housing Community Development</w:t>
            </w:r>
          </w:p>
        </w:tc>
        <w:tc>
          <w:tcPr>
            <w:tcW w:w="0" w:type="auto"/>
            <w:vAlign w:val="center"/>
          </w:tcPr>
          <w:p w:rsidR="0011119D" w:rsidRDefault="00614B27">
            <w:pPr>
              <w:spacing w:beforeAutospacing="1" w:afterAutospacing="1"/>
            </w:pPr>
            <w:r>
              <w:rPr>
                <w:color w:val="000000"/>
                <w:sz w:val="22"/>
              </w:rPr>
              <w:t>CDBG: $</w:t>
            </w:r>
          </w:p>
        </w:tc>
        <w:tc>
          <w:tcPr>
            <w:tcW w:w="0" w:type="auto"/>
            <w:vAlign w:val="center"/>
          </w:tcPr>
          <w:p w:rsidR="0011119D" w:rsidRDefault="00614B27">
            <w:pPr>
              <w:spacing w:beforeAutospacing="1" w:afterAutospacing="1"/>
            </w:pPr>
            <w:r>
              <w:rPr>
                <w:color w:val="000000"/>
                <w:sz w:val="22"/>
              </w:rPr>
              <w:t>Businesses assisted</w:t>
            </w:r>
          </w:p>
        </w:tc>
        <w:tc>
          <w:tcPr>
            <w:tcW w:w="0" w:type="auto"/>
            <w:vAlign w:val="center"/>
          </w:tcPr>
          <w:p w:rsidR="0011119D" w:rsidRDefault="00614B27">
            <w:pPr>
              <w:spacing w:beforeAutospacing="1" w:afterAutospacing="1"/>
            </w:pPr>
            <w:r>
              <w:rPr>
                <w:color w:val="000000"/>
                <w:sz w:val="22"/>
              </w:rPr>
              <w:t>Businesses Assisted</w:t>
            </w:r>
          </w:p>
        </w:tc>
        <w:tc>
          <w:tcPr>
            <w:tcW w:w="0" w:type="auto"/>
            <w:vAlign w:val="center"/>
          </w:tcPr>
          <w:p w:rsidR="0011119D" w:rsidRDefault="00614B27">
            <w:pPr>
              <w:spacing w:beforeAutospacing="1" w:afterAutospacing="1"/>
            </w:pPr>
            <w:r>
              <w:rPr>
                <w:color w:val="000000"/>
                <w:sz w:val="22"/>
              </w:rPr>
              <w:t>50</w:t>
            </w:r>
          </w:p>
        </w:tc>
        <w:tc>
          <w:tcPr>
            <w:tcW w:w="0" w:type="auto"/>
            <w:vAlign w:val="center"/>
          </w:tcPr>
          <w:p w:rsidR="0011119D" w:rsidRDefault="00614B27">
            <w:pPr>
              <w:spacing w:beforeAutospacing="1" w:afterAutospacing="1"/>
            </w:pPr>
            <w:r>
              <w:rPr>
                <w:color w:val="000000"/>
                <w:sz w:val="22"/>
              </w:rPr>
              <w:t>7</w:t>
            </w:r>
          </w:p>
        </w:tc>
        <w:tc>
          <w:tcPr>
            <w:tcW w:w="0" w:type="auto"/>
            <w:vAlign w:val="center"/>
          </w:tcPr>
          <w:p w:rsidR="0011119D" w:rsidRDefault="00614B27">
            <w:pPr>
              <w:spacing w:beforeAutospacing="1" w:afterAutospacing="1"/>
            </w:pPr>
            <w:r>
              <w:rPr>
                <w:color w:val="000000"/>
                <w:sz w:val="22"/>
              </w:rPr>
              <w:t xml:space="preserve">        14.00%</w:t>
            </w:r>
          </w:p>
        </w:tc>
        <w:tc>
          <w:tcPr>
            <w:tcW w:w="0" w:type="auto"/>
            <w:vAlign w:val="center"/>
          </w:tcPr>
          <w:p w:rsidR="0011119D" w:rsidRDefault="00614B27">
            <w:pPr>
              <w:spacing w:beforeAutospacing="1" w:afterAutospacing="1"/>
            </w:pPr>
            <w:r>
              <w:rPr>
                <w:color w:val="000000"/>
                <w:sz w:val="22"/>
              </w:rPr>
              <w:t>15</w:t>
            </w:r>
          </w:p>
        </w:tc>
        <w:tc>
          <w:tcPr>
            <w:tcW w:w="0" w:type="auto"/>
            <w:vAlign w:val="center"/>
          </w:tcPr>
          <w:p w:rsidR="0011119D" w:rsidRDefault="00D0647A">
            <w:pPr>
              <w:spacing w:beforeAutospacing="1" w:afterAutospacing="1"/>
            </w:pPr>
            <w:r>
              <w:rPr>
                <w:color w:val="000000"/>
                <w:sz w:val="22"/>
              </w:rPr>
              <w:t>3</w:t>
            </w:r>
          </w:p>
        </w:tc>
        <w:tc>
          <w:tcPr>
            <w:tcW w:w="0" w:type="auto"/>
            <w:vAlign w:val="center"/>
          </w:tcPr>
          <w:p w:rsidR="0011119D" w:rsidRDefault="00614B27" w:rsidP="00D0647A">
            <w:pPr>
              <w:spacing w:beforeAutospacing="1" w:afterAutospacing="1"/>
            </w:pPr>
            <w:r>
              <w:rPr>
                <w:color w:val="000000"/>
                <w:sz w:val="22"/>
              </w:rPr>
              <w:t xml:space="preserve">        </w:t>
            </w:r>
            <w:r w:rsidR="00D0647A">
              <w:rPr>
                <w:color w:val="000000"/>
                <w:sz w:val="22"/>
              </w:rPr>
              <w:t>20</w:t>
            </w:r>
            <w:r>
              <w:rPr>
                <w:color w:val="000000"/>
                <w:sz w:val="22"/>
              </w:rPr>
              <w:t>%</w:t>
            </w:r>
          </w:p>
        </w:tc>
      </w:tr>
      <w:tr w:rsidR="0011119D">
        <w:trPr>
          <w:cantSplit/>
        </w:trPr>
        <w:tc>
          <w:tcPr>
            <w:tcW w:w="0" w:type="auto"/>
            <w:vAlign w:val="center"/>
          </w:tcPr>
          <w:p w:rsidR="0011119D" w:rsidRDefault="00614B27">
            <w:pPr>
              <w:spacing w:beforeAutospacing="1" w:afterAutospacing="1"/>
            </w:pPr>
            <w:r>
              <w:rPr>
                <w:color w:val="000000"/>
                <w:sz w:val="22"/>
              </w:rPr>
              <w:t>Economic Opportunity</w:t>
            </w:r>
          </w:p>
        </w:tc>
        <w:tc>
          <w:tcPr>
            <w:tcW w:w="0" w:type="auto"/>
            <w:vAlign w:val="center"/>
          </w:tcPr>
          <w:p w:rsidR="0011119D" w:rsidRDefault="00614B27">
            <w:pPr>
              <w:spacing w:beforeAutospacing="1" w:afterAutospacing="1"/>
            </w:pPr>
            <w:r>
              <w:rPr>
                <w:color w:val="000000"/>
                <w:sz w:val="22"/>
              </w:rPr>
              <w:t>Non-Housing Community Development</w:t>
            </w:r>
          </w:p>
        </w:tc>
        <w:tc>
          <w:tcPr>
            <w:tcW w:w="0" w:type="auto"/>
            <w:vAlign w:val="center"/>
          </w:tcPr>
          <w:p w:rsidR="0011119D" w:rsidRDefault="00614B27">
            <w:pPr>
              <w:spacing w:beforeAutospacing="1" w:afterAutospacing="1"/>
            </w:pPr>
            <w:r>
              <w:rPr>
                <w:color w:val="000000"/>
                <w:sz w:val="22"/>
              </w:rPr>
              <w:t>CDBG: $</w:t>
            </w:r>
          </w:p>
        </w:tc>
        <w:tc>
          <w:tcPr>
            <w:tcW w:w="0" w:type="auto"/>
            <w:vAlign w:val="center"/>
          </w:tcPr>
          <w:p w:rsidR="0011119D" w:rsidRDefault="00614B27">
            <w:pPr>
              <w:spacing w:beforeAutospacing="1" w:afterAutospacing="1"/>
            </w:pPr>
            <w:r>
              <w:rPr>
                <w:color w:val="000000"/>
                <w:sz w:val="22"/>
              </w:rPr>
              <w:t>Other</w:t>
            </w:r>
          </w:p>
        </w:tc>
        <w:tc>
          <w:tcPr>
            <w:tcW w:w="0" w:type="auto"/>
            <w:vAlign w:val="center"/>
          </w:tcPr>
          <w:p w:rsidR="0011119D" w:rsidRDefault="00614B27">
            <w:pPr>
              <w:spacing w:beforeAutospacing="1" w:afterAutospacing="1"/>
            </w:pPr>
            <w:r>
              <w:rPr>
                <w:color w:val="000000"/>
                <w:sz w:val="22"/>
              </w:rPr>
              <w:t>Other</w:t>
            </w:r>
          </w:p>
        </w:tc>
        <w:tc>
          <w:tcPr>
            <w:tcW w:w="0" w:type="auto"/>
            <w:vAlign w:val="center"/>
          </w:tcPr>
          <w:p w:rsidR="0011119D" w:rsidRDefault="00614B27">
            <w:pPr>
              <w:spacing w:beforeAutospacing="1" w:afterAutospacing="1"/>
            </w:pPr>
            <w:r>
              <w:rPr>
                <w:color w:val="000000"/>
                <w:sz w:val="22"/>
              </w:rPr>
              <w:t>0</w:t>
            </w:r>
          </w:p>
        </w:tc>
        <w:tc>
          <w:tcPr>
            <w:tcW w:w="0" w:type="auto"/>
            <w:vAlign w:val="center"/>
          </w:tcPr>
          <w:p w:rsidR="0011119D" w:rsidRDefault="00614B27">
            <w:pPr>
              <w:spacing w:beforeAutospacing="1" w:afterAutospacing="1"/>
            </w:pPr>
            <w:r>
              <w:rPr>
                <w:color w:val="000000"/>
                <w:sz w:val="22"/>
              </w:rPr>
              <w:t>0</w:t>
            </w:r>
          </w:p>
        </w:tc>
        <w:tc>
          <w:tcPr>
            <w:tcW w:w="0" w:type="auto"/>
            <w:vAlign w:val="center"/>
          </w:tcPr>
          <w:p w:rsidR="0011119D" w:rsidRDefault="00614B27">
            <w:pPr>
              <w:spacing w:beforeAutospacing="1" w:afterAutospacing="1"/>
            </w:pPr>
            <w:r>
              <w:rPr>
                <w:color w:val="000000"/>
                <w:sz w:val="22"/>
              </w:rPr>
              <w:t xml:space="preserve"> </w:t>
            </w:r>
          </w:p>
        </w:tc>
        <w:tc>
          <w:tcPr>
            <w:tcW w:w="0" w:type="auto"/>
            <w:vAlign w:val="center"/>
          </w:tcPr>
          <w:p w:rsidR="0011119D" w:rsidRDefault="00614B27">
            <w:pPr>
              <w:spacing w:beforeAutospacing="1" w:afterAutospacing="1"/>
            </w:pPr>
            <w:r>
              <w:rPr>
                <w:color w:val="000000"/>
                <w:sz w:val="22"/>
              </w:rPr>
              <w:t>10612</w:t>
            </w:r>
          </w:p>
        </w:tc>
        <w:tc>
          <w:tcPr>
            <w:tcW w:w="0" w:type="auto"/>
            <w:vAlign w:val="center"/>
          </w:tcPr>
          <w:p w:rsidR="0011119D" w:rsidRDefault="00D0647A">
            <w:pPr>
              <w:spacing w:beforeAutospacing="1" w:afterAutospacing="1"/>
            </w:pPr>
            <w:r>
              <w:rPr>
                <w:color w:val="000000"/>
                <w:sz w:val="22"/>
              </w:rPr>
              <w:t>2,656</w:t>
            </w:r>
          </w:p>
        </w:tc>
        <w:tc>
          <w:tcPr>
            <w:tcW w:w="0" w:type="auto"/>
            <w:vAlign w:val="center"/>
          </w:tcPr>
          <w:p w:rsidR="0011119D" w:rsidRDefault="00614B27" w:rsidP="00D0647A">
            <w:pPr>
              <w:spacing w:beforeAutospacing="1" w:afterAutospacing="1"/>
            </w:pPr>
            <w:r>
              <w:rPr>
                <w:color w:val="000000"/>
                <w:sz w:val="22"/>
              </w:rPr>
              <w:t xml:space="preserve">         </w:t>
            </w:r>
            <w:r w:rsidR="00D0647A">
              <w:rPr>
                <w:color w:val="000000"/>
                <w:sz w:val="22"/>
              </w:rPr>
              <w:t>25.02</w:t>
            </w:r>
            <w:r>
              <w:rPr>
                <w:color w:val="000000"/>
                <w:sz w:val="22"/>
              </w:rPr>
              <w:t>%</w:t>
            </w:r>
          </w:p>
        </w:tc>
      </w:tr>
      <w:tr w:rsidR="0011119D">
        <w:trPr>
          <w:cantSplit/>
        </w:trPr>
        <w:tc>
          <w:tcPr>
            <w:tcW w:w="0" w:type="auto"/>
            <w:vAlign w:val="center"/>
          </w:tcPr>
          <w:p w:rsidR="0011119D" w:rsidRDefault="00614B27">
            <w:pPr>
              <w:spacing w:beforeAutospacing="1" w:afterAutospacing="1"/>
            </w:pPr>
            <w:r>
              <w:rPr>
                <w:color w:val="000000"/>
                <w:sz w:val="22"/>
              </w:rPr>
              <w:t>Public Facilities</w:t>
            </w:r>
          </w:p>
        </w:tc>
        <w:tc>
          <w:tcPr>
            <w:tcW w:w="0" w:type="auto"/>
            <w:vAlign w:val="center"/>
          </w:tcPr>
          <w:p w:rsidR="0011119D" w:rsidRDefault="00614B27">
            <w:pPr>
              <w:spacing w:beforeAutospacing="1" w:afterAutospacing="1"/>
            </w:pPr>
            <w:r>
              <w:rPr>
                <w:color w:val="000000"/>
                <w:sz w:val="22"/>
              </w:rPr>
              <w:t>Non-Housing Community Development</w:t>
            </w:r>
          </w:p>
        </w:tc>
        <w:tc>
          <w:tcPr>
            <w:tcW w:w="0" w:type="auto"/>
            <w:vAlign w:val="center"/>
          </w:tcPr>
          <w:p w:rsidR="0011119D" w:rsidRDefault="00614B27">
            <w:pPr>
              <w:spacing w:beforeAutospacing="1" w:afterAutospacing="1"/>
            </w:pPr>
            <w:r>
              <w:rPr>
                <w:color w:val="000000"/>
                <w:sz w:val="22"/>
              </w:rPr>
              <w:t>CDBG: $</w:t>
            </w:r>
          </w:p>
        </w:tc>
        <w:tc>
          <w:tcPr>
            <w:tcW w:w="0" w:type="auto"/>
            <w:vAlign w:val="center"/>
          </w:tcPr>
          <w:p w:rsidR="0011119D" w:rsidRDefault="00614B27">
            <w:pPr>
              <w:spacing w:beforeAutospacing="1" w:afterAutospacing="1"/>
            </w:pPr>
            <w:r>
              <w:rPr>
                <w:color w:val="000000"/>
                <w:sz w:val="22"/>
              </w:rPr>
              <w:t>Public Facility or Infrastructure Activities other than Low/Moderate Income Housing Benefit</w:t>
            </w:r>
          </w:p>
        </w:tc>
        <w:tc>
          <w:tcPr>
            <w:tcW w:w="0" w:type="auto"/>
            <w:vAlign w:val="center"/>
          </w:tcPr>
          <w:p w:rsidR="0011119D" w:rsidRDefault="00614B27">
            <w:pPr>
              <w:spacing w:beforeAutospacing="1" w:afterAutospacing="1"/>
            </w:pPr>
            <w:r>
              <w:rPr>
                <w:color w:val="000000"/>
                <w:sz w:val="22"/>
              </w:rPr>
              <w:t>Persons Assisted</w:t>
            </w:r>
          </w:p>
        </w:tc>
        <w:tc>
          <w:tcPr>
            <w:tcW w:w="0" w:type="auto"/>
            <w:vAlign w:val="center"/>
          </w:tcPr>
          <w:p w:rsidR="0011119D" w:rsidRDefault="00614B27">
            <w:pPr>
              <w:spacing w:beforeAutospacing="1" w:afterAutospacing="1"/>
            </w:pPr>
            <w:r>
              <w:rPr>
                <w:color w:val="000000"/>
                <w:sz w:val="22"/>
              </w:rPr>
              <w:t>800</w:t>
            </w:r>
          </w:p>
        </w:tc>
        <w:tc>
          <w:tcPr>
            <w:tcW w:w="0" w:type="auto"/>
            <w:vAlign w:val="center"/>
          </w:tcPr>
          <w:p w:rsidR="0011119D" w:rsidRDefault="00614B27">
            <w:pPr>
              <w:spacing w:beforeAutospacing="1" w:afterAutospacing="1"/>
            </w:pPr>
            <w:r>
              <w:rPr>
                <w:color w:val="000000"/>
                <w:sz w:val="22"/>
              </w:rPr>
              <w:t>0</w:t>
            </w:r>
          </w:p>
        </w:tc>
        <w:tc>
          <w:tcPr>
            <w:tcW w:w="0" w:type="auto"/>
            <w:vAlign w:val="center"/>
          </w:tcPr>
          <w:p w:rsidR="0011119D" w:rsidRDefault="00614B27">
            <w:pPr>
              <w:spacing w:beforeAutospacing="1" w:afterAutospacing="1"/>
            </w:pPr>
            <w:r>
              <w:rPr>
                <w:color w:val="000000"/>
                <w:sz w:val="22"/>
              </w:rPr>
              <w:t xml:space="preserve">         0.00%</w:t>
            </w:r>
          </w:p>
        </w:tc>
        <w:tc>
          <w:tcPr>
            <w:tcW w:w="0" w:type="auto"/>
            <w:vAlign w:val="center"/>
          </w:tcPr>
          <w:p w:rsidR="0011119D" w:rsidRDefault="00614B27">
            <w:pPr>
              <w:spacing w:beforeAutospacing="1" w:afterAutospacing="1"/>
            </w:pPr>
            <w:r>
              <w:rPr>
                <w:color w:val="000000"/>
                <w:sz w:val="22"/>
              </w:rPr>
              <w:t xml:space="preserve"> </w:t>
            </w:r>
          </w:p>
        </w:tc>
        <w:tc>
          <w:tcPr>
            <w:tcW w:w="0" w:type="auto"/>
            <w:vAlign w:val="center"/>
          </w:tcPr>
          <w:p w:rsidR="0011119D" w:rsidRDefault="00614B27">
            <w:pPr>
              <w:spacing w:beforeAutospacing="1" w:afterAutospacing="1"/>
            </w:pPr>
            <w:r>
              <w:rPr>
                <w:color w:val="000000"/>
                <w:sz w:val="22"/>
              </w:rPr>
              <w:t xml:space="preserve"> </w:t>
            </w:r>
          </w:p>
        </w:tc>
        <w:tc>
          <w:tcPr>
            <w:tcW w:w="0" w:type="auto"/>
            <w:vAlign w:val="center"/>
          </w:tcPr>
          <w:p w:rsidR="0011119D" w:rsidRDefault="00614B27">
            <w:pPr>
              <w:spacing w:beforeAutospacing="1" w:afterAutospacing="1"/>
            </w:pPr>
            <w:r>
              <w:rPr>
                <w:color w:val="000000"/>
                <w:sz w:val="22"/>
              </w:rPr>
              <w:t xml:space="preserve"> </w:t>
            </w:r>
          </w:p>
        </w:tc>
      </w:tr>
      <w:tr w:rsidR="0011119D">
        <w:trPr>
          <w:cantSplit/>
        </w:trPr>
        <w:tc>
          <w:tcPr>
            <w:tcW w:w="0" w:type="auto"/>
            <w:vAlign w:val="center"/>
          </w:tcPr>
          <w:p w:rsidR="0011119D" w:rsidRDefault="00614B27">
            <w:pPr>
              <w:spacing w:beforeAutospacing="1" w:afterAutospacing="1"/>
            </w:pPr>
            <w:r>
              <w:rPr>
                <w:color w:val="000000"/>
                <w:sz w:val="22"/>
              </w:rPr>
              <w:t>Public Improvements</w:t>
            </w:r>
          </w:p>
        </w:tc>
        <w:tc>
          <w:tcPr>
            <w:tcW w:w="0" w:type="auto"/>
            <w:vAlign w:val="center"/>
          </w:tcPr>
          <w:p w:rsidR="0011119D" w:rsidRDefault="00614B27">
            <w:pPr>
              <w:spacing w:beforeAutospacing="1" w:afterAutospacing="1"/>
            </w:pPr>
            <w:r>
              <w:rPr>
                <w:color w:val="000000"/>
                <w:sz w:val="22"/>
              </w:rPr>
              <w:t>Non-Housing Community Development</w:t>
            </w:r>
          </w:p>
        </w:tc>
        <w:tc>
          <w:tcPr>
            <w:tcW w:w="0" w:type="auto"/>
            <w:vAlign w:val="center"/>
          </w:tcPr>
          <w:p w:rsidR="0011119D" w:rsidRDefault="00614B27">
            <w:pPr>
              <w:spacing w:beforeAutospacing="1" w:afterAutospacing="1"/>
            </w:pPr>
            <w:r>
              <w:rPr>
                <w:color w:val="000000"/>
                <w:sz w:val="22"/>
              </w:rPr>
              <w:t>CDBG: $</w:t>
            </w:r>
          </w:p>
        </w:tc>
        <w:tc>
          <w:tcPr>
            <w:tcW w:w="0" w:type="auto"/>
            <w:vAlign w:val="center"/>
          </w:tcPr>
          <w:p w:rsidR="0011119D" w:rsidRDefault="00614B27">
            <w:pPr>
              <w:spacing w:beforeAutospacing="1" w:afterAutospacing="1"/>
            </w:pPr>
            <w:r>
              <w:rPr>
                <w:color w:val="000000"/>
                <w:sz w:val="22"/>
              </w:rPr>
              <w:t>Public Facility or Infrastructure Activities other than Low/Moderate Income Housing Benefit</w:t>
            </w:r>
          </w:p>
        </w:tc>
        <w:tc>
          <w:tcPr>
            <w:tcW w:w="0" w:type="auto"/>
            <w:vAlign w:val="center"/>
          </w:tcPr>
          <w:p w:rsidR="0011119D" w:rsidRDefault="00614B27">
            <w:pPr>
              <w:spacing w:beforeAutospacing="1" w:afterAutospacing="1"/>
            </w:pPr>
            <w:r>
              <w:rPr>
                <w:color w:val="000000"/>
                <w:sz w:val="22"/>
              </w:rPr>
              <w:t>Persons Assisted</w:t>
            </w:r>
          </w:p>
        </w:tc>
        <w:tc>
          <w:tcPr>
            <w:tcW w:w="0" w:type="auto"/>
            <w:vAlign w:val="center"/>
          </w:tcPr>
          <w:p w:rsidR="0011119D" w:rsidRDefault="00614B27">
            <w:pPr>
              <w:spacing w:beforeAutospacing="1" w:afterAutospacing="1"/>
            </w:pPr>
            <w:r>
              <w:rPr>
                <w:color w:val="000000"/>
                <w:sz w:val="22"/>
              </w:rPr>
              <w:t>750</w:t>
            </w:r>
          </w:p>
        </w:tc>
        <w:tc>
          <w:tcPr>
            <w:tcW w:w="0" w:type="auto"/>
            <w:vAlign w:val="center"/>
          </w:tcPr>
          <w:p w:rsidR="0011119D" w:rsidRDefault="00614B27">
            <w:pPr>
              <w:spacing w:beforeAutospacing="1" w:afterAutospacing="1"/>
            </w:pPr>
            <w:r>
              <w:rPr>
                <w:color w:val="000000"/>
                <w:sz w:val="22"/>
              </w:rPr>
              <w:t>1470</w:t>
            </w:r>
          </w:p>
        </w:tc>
        <w:tc>
          <w:tcPr>
            <w:tcW w:w="0" w:type="auto"/>
            <w:vAlign w:val="center"/>
          </w:tcPr>
          <w:p w:rsidR="0011119D" w:rsidRDefault="00614B27">
            <w:pPr>
              <w:spacing w:beforeAutospacing="1" w:afterAutospacing="1"/>
            </w:pPr>
            <w:r>
              <w:rPr>
                <w:color w:val="000000"/>
                <w:sz w:val="22"/>
              </w:rPr>
              <w:t xml:space="preserve">       196.00%</w:t>
            </w:r>
          </w:p>
        </w:tc>
        <w:tc>
          <w:tcPr>
            <w:tcW w:w="0" w:type="auto"/>
            <w:vAlign w:val="center"/>
          </w:tcPr>
          <w:p w:rsidR="0011119D" w:rsidRDefault="00614B27">
            <w:pPr>
              <w:spacing w:beforeAutospacing="1" w:afterAutospacing="1"/>
            </w:pPr>
            <w:r>
              <w:rPr>
                <w:color w:val="000000"/>
                <w:sz w:val="22"/>
              </w:rPr>
              <w:t>0</w:t>
            </w:r>
          </w:p>
        </w:tc>
        <w:tc>
          <w:tcPr>
            <w:tcW w:w="0" w:type="auto"/>
            <w:vAlign w:val="center"/>
          </w:tcPr>
          <w:p w:rsidR="0011119D" w:rsidRDefault="00614B27">
            <w:pPr>
              <w:spacing w:beforeAutospacing="1" w:afterAutospacing="1"/>
            </w:pPr>
            <w:r>
              <w:rPr>
                <w:color w:val="000000"/>
                <w:sz w:val="22"/>
              </w:rPr>
              <w:t>1470</w:t>
            </w:r>
          </w:p>
        </w:tc>
        <w:tc>
          <w:tcPr>
            <w:tcW w:w="0" w:type="auto"/>
            <w:vAlign w:val="center"/>
          </w:tcPr>
          <w:p w:rsidR="0011119D" w:rsidRDefault="00614B27">
            <w:pPr>
              <w:spacing w:beforeAutospacing="1" w:afterAutospacing="1"/>
            </w:pPr>
            <w:r>
              <w:rPr>
                <w:color w:val="000000"/>
                <w:sz w:val="22"/>
              </w:rPr>
              <w:t xml:space="preserve"> </w:t>
            </w:r>
          </w:p>
        </w:tc>
      </w:tr>
      <w:tr w:rsidR="0011119D">
        <w:trPr>
          <w:cantSplit/>
        </w:trPr>
        <w:tc>
          <w:tcPr>
            <w:tcW w:w="0" w:type="auto"/>
            <w:vAlign w:val="center"/>
          </w:tcPr>
          <w:p w:rsidR="0011119D" w:rsidRDefault="00614B27">
            <w:pPr>
              <w:spacing w:beforeAutospacing="1" w:afterAutospacing="1"/>
            </w:pPr>
            <w:r>
              <w:rPr>
                <w:color w:val="000000"/>
                <w:sz w:val="22"/>
              </w:rPr>
              <w:t>Quality Affordable Owner Housing</w:t>
            </w:r>
          </w:p>
        </w:tc>
        <w:tc>
          <w:tcPr>
            <w:tcW w:w="0" w:type="auto"/>
            <w:vAlign w:val="center"/>
          </w:tcPr>
          <w:p w:rsidR="0011119D" w:rsidRDefault="00614B27">
            <w:pPr>
              <w:spacing w:beforeAutospacing="1" w:afterAutospacing="1"/>
            </w:pPr>
            <w:r>
              <w:rPr>
                <w:color w:val="000000"/>
                <w:sz w:val="22"/>
              </w:rPr>
              <w:t>Affordable Housing</w:t>
            </w:r>
          </w:p>
        </w:tc>
        <w:tc>
          <w:tcPr>
            <w:tcW w:w="0" w:type="auto"/>
            <w:vAlign w:val="center"/>
          </w:tcPr>
          <w:p w:rsidR="0011119D" w:rsidRDefault="00614B27">
            <w:pPr>
              <w:spacing w:beforeAutospacing="1" w:afterAutospacing="1"/>
            </w:pPr>
            <w:r>
              <w:rPr>
                <w:color w:val="000000"/>
                <w:sz w:val="22"/>
              </w:rPr>
              <w:t>CDBG: $</w:t>
            </w:r>
          </w:p>
        </w:tc>
        <w:tc>
          <w:tcPr>
            <w:tcW w:w="0" w:type="auto"/>
            <w:vAlign w:val="center"/>
          </w:tcPr>
          <w:p w:rsidR="0011119D" w:rsidRDefault="00614B27">
            <w:pPr>
              <w:spacing w:beforeAutospacing="1" w:afterAutospacing="1"/>
            </w:pPr>
            <w:r>
              <w:rPr>
                <w:color w:val="000000"/>
                <w:sz w:val="22"/>
              </w:rPr>
              <w:t>Homeowner Housing Rehabilitated</w:t>
            </w:r>
          </w:p>
        </w:tc>
        <w:tc>
          <w:tcPr>
            <w:tcW w:w="0" w:type="auto"/>
            <w:vAlign w:val="center"/>
          </w:tcPr>
          <w:p w:rsidR="0011119D" w:rsidRDefault="00614B27">
            <w:pPr>
              <w:spacing w:beforeAutospacing="1" w:afterAutospacing="1"/>
            </w:pPr>
            <w:r>
              <w:rPr>
                <w:color w:val="000000"/>
                <w:sz w:val="22"/>
              </w:rPr>
              <w:t>Household Housing Unit</w:t>
            </w:r>
          </w:p>
        </w:tc>
        <w:tc>
          <w:tcPr>
            <w:tcW w:w="0" w:type="auto"/>
            <w:vAlign w:val="center"/>
          </w:tcPr>
          <w:p w:rsidR="0011119D" w:rsidRDefault="00614B27">
            <w:pPr>
              <w:spacing w:beforeAutospacing="1" w:afterAutospacing="1"/>
            </w:pPr>
            <w:r>
              <w:rPr>
                <w:color w:val="000000"/>
                <w:sz w:val="22"/>
              </w:rPr>
              <w:t>8</w:t>
            </w:r>
          </w:p>
        </w:tc>
        <w:tc>
          <w:tcPr>
            <w:tcW w:w="0" w:type="auto"/>
            <w:vAlign w:val="center"/>
          </w:tcPr>
          <w:p w:rsidR="0011119D" w:rsidRDefault="00614B27">
            <w:pPr>
              <w:spacing w:beforeAutospacing="1" w:afterAutospacing="1"/>
            </w:pPr>
            <w:r>
              <w:rPr>
                <w:color w:val="000000"/>
                <w:sz w:val="22"/>
              </w:rPr>
              <w:t>0</w:t>
            </w:r>
          </w:p>
        </w:tc>
        <w:tc>
          <w:tcPr>
            <w:tcW w:w="0" w:type="auto"/>
            <w:vAlign w:val="center"/>
          </w:tcPr>
          <w:p w:rsidR="0011119D" w:rsidRDefault="00614B27">
            <w:pPr>
              <w:spacing w:beforeAutospacing="1" w:afterAutospacing="1"/>
            </w:pPr>
            <w:r>
              <w:rPr>
                <w:color w:val="000000"/>
                <w:sz w:val="22"/>
              </w:rPr>
              <w:t xml:space="preserve">         0.00%</w:t>
            </w:r>
          </w:p>
        </w:tc>
        <w:tc>
          <w:tcPr>
            <w:tcW w:w="0" w:type="auto"/>
            <w:vAlign w:val="center"/>
          </w:tcPr>
          <w:p w:rsidR="0011119D" w:rsidRDefault="00614B27">
            <w:pPr>
              <w:spacing w:beforeAutospacing="1" w:afterAutospacing="1"/>
            </w:pPr>
            <w:r>
              <w:rPr>
                <w:color w:val="000000"/>
                <w:sz w:val="22"/>
              </w:rPr>
              <w:t xml:space="preserve"> </w:t>
            </w:r>
          </w:p>
        </w:tc>
        <w:tc>
          <w:tcPr>
            <w:tcW w:w="0" w:type="auto"/>
            <w:vAlign w:val="center"/>
          </w:tcPr>
          <w:p w:rsidR="0011119D" w:rsidRDefault="00614B27">
            <w:pPr>
              <w:spacing w:beforeAutospacing="1" w:afterAutospacing="1"/>
            </w:pPr>
            <w:r>
              <w:rPr>
                <w:color w:val="000000"/>
                <w:sz w:val="22"/>
              </w:rPr>
              <w:t xml:space="preserve"> </w:t>
            </w:r>
          </w:p>
        </w:tc>
        <w:tc>
          <w:tcPr>
            <w:tcW w:w="0" w:type="auto"/>
            <w:vAlign w:val="center"/>
          </w:tcPr>
          <w:p w:rsidR="0011119D" w:rsidRDefault="00614B27">
            <w:pPr>
              <w:spacing w:beforeAutospacing="1" w:afterAutospacing="1"/>
            </w:pPr>
            <w:r>
              <w:rPr>
                <w:color w:val="000000"/>
                <w:sz w:val="22"/>
              </w:rPr>
              <w:t xml:space="preserve"> </w:t>
            </w:r>
          </w:p>
        </w:tc>
      </w:tr>
      <w:tr w:rsidR="0011119D">
        <w:trPr>
          <w:cantSplit/>
        </w:trPr>
        <w:tc>
          <w:tcPr>
            <w:tcW w:w="0" w:type="auto"/>
            <w:vAlign w:val="center"/>
          </w:tcPr>
          <w:p w:rsidR="0011119D" w:rsidRDefault="00614B27">
            <w:pPr>
              <w:spacing w:beforeAutospacing="1" w:afterAutospacing="1"/>
            </w:pPr>
            <w:r>
              <w:rPr>
                <w:color w:val="000000"/>
                <w:sz w:val="22"/>
              </w:rPr>
              <w:t>Quality Affordable Rental Housing</w:t>
            </w:r>
          </w:p>
        </w:tc>
        <w:tc>
          <w:tcPr>
            <w:tcW w:w="0" w:type="auto"/>
            <w:vAlign w:val="center"/>
          </w:tcPr>
          <w:p w:rsidR="0011119D" w:rsidRDefault="00614B27">
            <w:pPr>
              <w:spacing w:beforeAutospacing="1" w:afterAutospacing="1"/>
            </w:pPr>
            <w:r>
              <w:rPr>
                <w:color w:val="000000"/>
                <w:sz w:val="22"/>
              </w:rPr>
              <w:t>Affordable Housing</w:t>
            </w:r>
          </w:p>
        </w:tc>
        <w:tc>
          <w:tcPr>
            <w:tcW w:w="0" w:type="auto"/>
            <w:vAlign w:val="center"/>
          </w:tcPr>
          <w:p w:rsidR="0011119D" w:rsidRDefault="00614B27">
            <w:pPr>
              <w:spacing w:beforeAutospacing="1" w:afterAutospacing="1"/>
            </w:pPr>
            <w:r>
              <w:rPr>
                <w:color w:val="000000"/>
                <w:sz w:val="22"/>
              </w:rPr>
              <w:t>CDBG: $</w:t>
            </w:r>
          </w:p>
        </w:tc>
        <w:tc>
          <w:tcPr>
            <w:tcW w:w="0" w:type="auto"/>
            <w:vAlign w:val="center"/>
          </w:tcPr>
          <w:p w:rsidR="0011119D" w:rsidRDefault="00614B27">
            <w:pPr>
              <w:spacing w:beforeAutospacing="1" w:afterAutospacing="1"/>
            </w:pPr>
            <w:r>
              <w:rPr>
                <w:color w:val="000000"/>
                <w:sz w:val="22"/>
              </w:rPr>
              <w:t>Public service activities other than Low/Moderate Income Housing Benefit</w:t>
            </w:r>
          </w:p>
        </w:tc>
        <w:tc>
          <w:tcPr>
            <w:tcW w:w="0" w:type="auto"/>
            <w:vAlign w:val="center"/>
          </w:tcPr>
          <w:p w:rsidR="0011119D" w:rsidRDefault="00614B27">
            <w:pPr>
              <w:spacing w:beforeAutospacing="1" w:afterAutospacing="1"/>
            </w:pPr>
            <w:r>
              <w:rPr>
                <w:color w:val="000000"/>
                <w:sz w:val="22"/>
              </w:rPr>
              <w:t>Persons Assisted</w:t>
            </w:r>
          </w:p>
        </w:tc>
        <w:tc>
          <w:tcPr>
            <w:tcW w:w="0" w:type="auto"/>
            <w:vAlign w:val="center"/>
          </w:tcPr>
          <w:p w:rsidR="0011119D" w:rsidRDefault="00614B27">
            <w:pPr>
              <w:spacing w:beforeAutospacing="1" w:afterAutospacing="1"/>
            </w:pPr>
            <w:r>
              <w:rPr>
                <w:color w:val="000000"/>
                <w:sz w:val="22"/>
              </w:rPr>
              <w:t>0</w:t>
            </w:r>
          </w:p>
        </w:tc>
        <w:tc>
          <w:tcPr>
            <w:tcW w:w="0" w:type="auto"/>
            <w:vAlign w:val="center"/>
          </w:tcPr>
          <w:p w:rsidR="0011119D" w:rsidRDefault="00614B27">
            <w:pPr>
              <w:spacing w:beforeAutospacing="1" w:afterAutospacing="1"/>
            </w:pPr>
            <w:r>
              <w:rPr>
                <w:color w:val="000000"/>
                <w:sz w:val="22"/>
              </w:rPr>
              <w:t>528</w:t>
            </w:r>
          </w:p>
        </w:tc>
        <w:tc>
          <w:tcPr>
            <w:tcW w:w="0" w:type="auto"/>
            <w:vAlign w:val="center"/>
          </w:tcPr>
          <w:p w:rsidR="0011119D" w:rsidRDefault="00614B27">
            <w:pPr>
              <w:spacing w:beforeAutospacing="1" w:afterAutospacing="1"/>
            </w:pPr>
            <w:r>
              <w:rPr>
                <w:color w:val="000000"/>
                <w:sz w:val="22"/>
              </w:rPr>
              <w:t xml:space="preserve"> </w:t>
            </w:r>
          </w:p>
        </w:tc>
        <w:tc>
          <w:tcPr>
            <w:tcW w:w="0" w:type="auto"/>
            <w:vAlign w:val="center"/>
          </w:tcPr>
          <w:p w:rsidR="0011119D" w:rsidRDefault="00614B27">
            <w:pPr>
              <w:spacing w:beforeAutospacing="1" w:afterAutospacing="1"/>
            </w:pPr>
            <w:r>
              <w:rPr>
                <w:color w:val="000000"/>
                <w:sz w:val="22"/>
              </w:rPr>
              <w:t>0</w:t>
            </w:r>
          </w:p>
        </w:tc>
        <w:tc>
          <w:tcPr>
            <w:tcW w:w="0" w:type="auto"/>
            <w:vAlign w:val="center"/>
          </w:tcPr>
          <w:p w:rsidR="0011119D" w:rsidRDefault="00614B27">
            <w:pPr>
              <w:spacing w:beforeAutospacing="1" w:afterAutospacing="1"/>
            </w:pPr>
            <w:r>
              <w:rPr>
                <w:color w:val="000000"/>
                <w:sz w:val="22"/>
              </w:rPr>
              <w:t>268</w:t>
            </w:r>
          </w:p>
        </w:tc>
        <w:tc>
          <w:tcPr>
            <w:tcW w:w="0" w:type="auto"/>
            <w:vAlign w:val="center"/>
          </w:tcPr>
          <w:p w:rsidR="0011119D" w:rsidRDefault="00614B27">
            <w:pPr>
              <w:spacing w:beforeAutospacing="1" w:afterAutospacing="1"/>
            </w:pPr>
            <w:r>
              <w:rPr>
                <w:color w:val="000000"/>
                <w:sz w:val="22"/>
              </w:rPr>
              <w:t xml:space="preserve"> </w:t>
            </w:r>
          </w:p>
        </w:tc>
      </w:tr>
      <w:tr w:rsidR="0011119D">
        <w:trPr>
          <w:cantSplit/>
        </w:trPr>
        <w:tc>
          <w:tcPr>
            <w:tcW w:w="0" w:type="auto"/>
            <w:vAlign w:val="center"/>
          </w:tcPr>
          <w:p w:rsidR="0011119D" w:rsidRDefault="00614B27">
            <w:pPr>
              <w:spacing w:beforeAutospacing="1" w:afterAutospacing="1"/>
            </w:pPr>
            <w:r>
              <w:rPr>
                <w:color w:val="000000"/>
                <w:sz w:val="22"/>
              </w:rPr>
              <w:t>Quality Affordable Rental Housing</w:t>
            </w:r>
          </w:p>
        </w:tc>
        <w:tc>
          <w:tcPr>
            <w:tcW w:w="0" w:type="auto"/>
            <w:vAlign w:val="center"/>
          </w:tcPr>
          <w:p w:rsidR="0011119D" w:rsidRDefault="00614B27">
            <w:pPr>
              <w:spacing w:beforeAutospacing="1" w:afterAutospacing="1"/>
            </w:pPr>
            <w:r>
              <w:rPr>
                <w:color w:val="000000"/>
                <w:sz w:val="22"/>
              </w:rPr>
              <w:t>Affordable Housing</w:t>
            </w:r>
          </w:p>
        </w:tc>
        <w:tc>
          <w:tcPr>
            <w:tcW w:w="0" w:type="auto"/>
            <w:vAlign w:val="center"/>
          </w:tcPr>
          <w:p w:rsidR="0011119D" w:rsidRDefault="00614B27">
            <w:pPr>
              <w:spacing w:beforeAutospacing="1" w:afterAutospacing="1"/>
            </w:pPr>
            <w:r>
              <w:rPr>
                <w:color w:val="000000"/>
                <w:sz w:val="22"/>
              </w:rPr>
              <w:t>CDBG: $</w:t>
            </w:r>
          </w:p>
        </w:tc>
        <w:tc>
          <w:tcPr>
            <w:tcW w:w="0" w:type="auto"/>
            <w:vAlign w:val="center"/>
          </w:tcPr>
          <w:p w:rsidR="0011119D" w:rsidRDefault="00614B27">
            <w:pPr>
              <w:spacing w:beforeAutospacing="1" w:afterAutospacing="1"/>
            </w:pPr>
            <w:r>
              <w:rPr>
                <w:color w:val="000000"/>
                <w:sz w:val="22"/>
              </w:rPr>
              <w:t>Public service activities for Low/Moderate Income Housing Benefit</w:t>
            </w:r>
          </w:p>
        </w:tc>
        <w:tc>
          <w:tcPr>
            <w:tcW w:w="0" w:type="auto"/>
            <w:vAlign w:val="center"/>
          </w:tcPr>
          <w:p w:rsidR="0011119D" w:rsidRDefault="00614B27">
            <w:pPr>
              <w:spacing w:beforeAutospacing="1" w:afterAutospacing="1"/>
            </w:pPr>
            <w:r>
              <w:rPr>
                <w:color w:val="000000"/>
                <w:sz w:val="22"/>
              </w:rPr>
              <w:t>Households Assisted</w:t>
            </w:r>
          </w:p>
        </w:tc>
        <w:tc>
          <w:tcPr>
            <w:tcW w:w="0" w:type="auto"/>
            <w:vAlign w:val="center"/>
          </w:tcPr>
          <w:p w:rsidR="0011119D" w:rsidRDefault="00614B27">
            <w:pPr>
              <w:spacing w:beforeAutospacing="1" w:afterAutospacing="1"/>
            </w:pPr>
            <w:r>
              <w:rPr>
                <w:color w:val="000000"/>
                <w:sz w:val="22"/>
              </w:rPr>
              <w:t>0</w:t>
            </w:r>
          </w:p>
        </w:tc>
        <w:tc>
          <w:tcPr>
            <w:tcW w:w="0" w:type="auto"/>
            <w:vAlign w:val="center"/>
          </w:tcPr>
          <w:p w:rsidR="0011119D" w:rsidRDefault="00614B27">
            <w:pPr>
              <w:spacing w:beforeAutospacing="1" w:afterAutospacing="1"/>
            </w:pPr>
            <w:r>
              <w:rPr>
                <w:color w:val="000000"/>
                <w:sz w:val="22"/>
              </w:rPr>
              <w:t>162</w:t>
            </w:r>
          </w:p>
        </w:tc>
        <w:tc>
          <w:tcPr>
            <w:tcW w:w="0" w:type="auto"/>
            <w:vAlign w:val="center"/>
          </w:tcPr>
          <w:p w:rsidR="0011119D" w:rsidRDefault="00614B27">
            <w:pPr>
              <w:spacing w:beforeAutospacing="1" w:afterAutospacing="1"/>
            </w:pPr>
            <w:r>
              <w:rPr>
                <w:color w:val="000000"/>
                <w:sz w:val="22"/>
              </w:rPr>
              <w:t xml:space="preserve"> </w:t>
            </w:r>
          </w:p>
        </w:tc>
        <w:tc>
          <w:tcPr>
            <w:tcW w:w="0" w:type="auto"/>
            <w:vAlign w:val="center"/>
          </w:tcPr>
          <w:p w:rsidR="0011119D" w:rsidRDefault="00614B27">
            <w:pPr>
              <w:spacing w:beforeAutospacing="1" w:afterAutospacing="1"/>
            </w:pPr>
            <w:r>
              <w:rPr>
                <w:color w:val="000000"/>
                <w:sz w:val="22"/>
              </w:rPr>
              <w:t>165</w:t>
            </w:r>
          </w:p>
        </w:tc>
        <w:tc>
          <w:tcPr>
            <w:tcW w:w="0" w:type="auto"/>
            <w:vAlign w:val="center"/>
          </w:tcPr>
          <w:p w:rsidR="0011119D" w:rsidRDefault="00664314">
            <w:pPr>
              <w:spacing w:beforeAutospacing="1" w:afterAutospacing="1"/>
            </w:pPr>
            <w:r>
              <w:rPr>
                <w:color w:val="000000"/>
                <w:sz w:val="22"/>
              </w:rPr>
              <w:t>167</w:t>
            </w:r>
          </w:p>
        </w:tc>
        <w:tc>
          <w:tcPr>
            <w:tcW w:w="0" w:type="auto"/>
            <w:vAlign w:val="center"/>
          </w:tcPr>
          <w:p w:rsidR="0011119D" w:rsidRDefault="00614B27">
            <w:pPr>
              <w:spacing w:beforeAutospacing="1" w:afterAutospacing="1"/>
            </w:pPr>
            <w:r>
              <w:rPr>
                <w:color w:val="000000"/>
                <w:sz w:val="22"/>
              </w:rPr>
              <w:t xml:space="preserve">         0.00%</w:t>
            </w:r>
          </w:p>
        </w:tc>
      </w:tr>
      <w:tr w:rsidR="0011119D">
        <w:trPr>
          <w:cantSplit/>
        </w:trPr>
        <w:tc>
          <w:tcPr>
            <w:tcW w:w="0" w:type="auto"/>
            <w:vAlign w:val="center"/>
          </w:tcPr>
          <w:p w:rsidR="0011119D" w:rsidRDefault="00614B27">
            <w:pPr>
              <w:spacing w:beforeAutospacing="1" w:afterAutospacing="1"/>
            </w:pPr>
            <w:r>
              <w:rPr>
                <w:color w:val="000000"/>
                <w:sz w:val="22"/>
              </w:rPr>
              <w:t>Quality Affordable Rental Housing</w:t>
            </w:r>
          </w:p>
        </w:tc>
        <w:tc>
          <w:tcPr>
            <w:tcW w:w="0" w:type="auto"/>
            <w:vAlign w:val="center"/>
          </w:tcPr>
          <w:p w:rsidR="0011119D" w:rsidRDefault="00614B27">
            <w:pPr>
              <w:spacing w:beforeAutospacing="1" w:afterAutospacing="1"/>
            </w:pPr>
            <w:r>
              <w:rPr>
                <w:color w:val="000000"/>
                <w:sz w:val="22"/>
              </w:rPr>
              <w:t>Affordable Housing</w:t>
            </w:r>
          </w:p>
        </w:tc>
        <w:tc>
          <w:tcPr>
            <w:tcW w:w="0" w:type="auto"/>
            <w:vAlign w:val="center"/>
          </w:tcPr>
          <w:p w:rsidR="0011119D" w:rsidRDefault="00614B27">
            <w:pPr>
              <w:spacing w:beforeAutospacing="1" w:afterAutospacing="1"/>
            </w:pPr>
            <w:r>
              <w:rPr>
                <w:color w:val="000000"/>
                <w:sz w:val="22"/>
              </w:rPr>
              <w:t>CDBG: $</w:t>
            </w:r>
          </w:p>
        </w:tc>
        <w:tc>
          <w:tcPr>
            <w:tcW w:w="0" w:type="auto"/>
            <w:vAlign w:val="center"/>
          </w:tcPr>
          <w:p w:rsidR="0011119D" w:rsidRDefault="00614B27">
            <w:pPr>
              <w:spacing w:beforeAutospacing="1" w:afterAutospacing="1"/>
            </w:pPr>
            <w:r>
              <w:rPr>
                <w:color w:val="000000"/>
                <w:sz w:val="22"/>
              </w:rPr>
              <w:t>Rental units rehabilitated</w:t>
            </w:r>
          </w:p>
        </w:tc>
        <w:tc>
          <w:tcPr>
            <w:tcW w:w="0" w:type="auto"/>
            <w:vAlign w:val="center"/>
          </w:tcPr>
          <w:p w:rsidR="0011119D" w:rsidRDefault="00614B27">
            <w:pPr>
              <w:spacing w:beforeAutospacing="1" w:afterAutospacing="1"/>
            </w:pPr>
            <w:r>
              <w:rPr>
                <w:color w:val="000000"/>
                <w:sz w:val="22"/>
              </w:rPr>
              <w:t>Household Housing Unit</w:t>
            </w:r>
          </w:p>
        </w:tc>
        <w:tc>
          <w:tcPr>
            <w:tcW w:w="0" w:type="auto"/>
            <w:vAlign w:val="center"/>
          </w:tcPr>
          <w:p w:rsidR="0011119D" w:rsidRDefault="00614B27">
            <w:pPr>
              <w:spacing w:beforeAutospacing="1" w:afterAutospacing="1"/>
            </w:pPr>
            <w:r>
              <w:rPr>
                <w:color w:val="000000"/>
                <w:sz w:val="22"/>
              </w:rPr>
              <w:t>10</w:t>
            </w:r>
          </w:p>
        </w:tc>
        <w:tc>
          <w:tcPr>
            <w:tcW w:w="0" w:type="auto"/>
            <w:vAlign w:val="center"/>
          </w:tcPr>
          <w:p w:rsidR="0011119D" w:rsidRDefault="00614B27">
            <w:pPr>
              <w:spacing w:beforeAutospacing="1" w:afterAutospacing="1"/>
            </w:pPr>
            <w:r>
              <w:rPr>
                <w:color w:val="000000"/>
                <w:sz w:val="22"/>
              </w:rPr>
              <w:t>0</w:t>
            </w:r>
          </w:p>
        </w:tc>
        <w:tc>
          <w:tcPr>
            <w:tcW w:w="0" w:type="auto"/>
            <w:vAlign w:val="center"/>
          </w:tcPr>
          <w:p w:rsidR="0011119D" w:rsidRDefault="00614B27">
            <w:pPr>
              <w:spacing w:beforeAutospacing="1" w:afterAutospacing="1"/>
            </w:pPr>
            <w:r>
              <w:rPr>
                <w:color w:val="000000"/>
                <w:sz w:val="22"/>
              </w:rPr>
              <w:t xml:space="preserve">         0.00%</w:t>
            </w:r>
          </w:p>
        </w:tc>
        <w:tc>
          <w:tcPr>
            <w:tcW w:w="0" w:type="auto"/>
            <w:vAlign w:val="center"/>
          </w:tcPr>
          <w:p w:rsidR="0011119D" w:rsidRDefault="00614B27">
            <w:pPr>
              <w:spacing w:beforeAutospacing="1" w:afterAutospacing="1"/>
            </w:pPr>
            <w:r>
              <w:rPr>
                <w:color w:val="000000"/>
                <w:sz w:val="22"/>
              </w:rPr>
              <w:t xml:space="preserve"> </w:t>
            </w:r>
          </w:p>
        </w:tc>
        <w:tc>
          <w:tcPr>
            <w:tcW w:w="0" w:type="auto"/>
            <w:vAlign w:val="center"/>
          </w:tcPr>
          <w:p w:rsidR="0011119D" w:rsidRDefault="00614B27">
            <w:pPr>
              <w:spacing w:beforeAutospacing="1" w:afterAutospacing="1"/>
            </w:pPr>
            <w:r>
              <w:rPr>
                <w:color w:val="000000"/>
                <w:sz w:val="22"/>
              </w:rPr>
              <w:t xml:space="preserve"> </w:t>
            </w:r>
            <w:r w:rsidR="00D0647A">
              <w:rPr>
                <w:color w:val="000000"/>
                <w:sz w:val="22"/>
              </w:rPr>
              <w:t>4</w:t>
            </w:r>
          </w:p>
        </w:tc>
        <w:tc>
          <w:tcPr>
            <w:tcW w:w="0" w:type="auto"/>
            <w:vAlign w:val="center"/>
          </w:tcPr>
          <w:p w:rsidR="0011119D" w:rsidRDefault="00614B27">
            <w:pPr>
              <w:spacing w:beforeAutospacing="1" w:afterAutospacing="1"/>
            </w:pPr>
            <w:r>
              <w:rPr>
                <w:color w:val="000000"/>
                <w:sz w:val="22"/>
              </w:rPr>
              <w:t xml:space="preserve"> </w:t>
            </w:r>
          </w:p>
        </w:tc>
      </w:tr>
      <w:tr w:rsidR="0011119D">
        <w:trPr>
          <w:cantSplit/>
        </w:trPr>
        <w:tc>
          <w:tcPr>
            <w:tcW w:w="0" w:type="auto"/>
            <w:vAlign w:val="center"/>
          </w:tcPr>
          <w:p w:rsidR="0011119D" w:rsidRDefault="00614B27">
            <w:pPr>
              <w:spacing w:beforeAutospacing="1" w:afterAutospacing="1"/>
            </w:pPr>
            <w:r>
              <w:rPr>
                <w:color w:val="000000"/>
                <w:sz w:val="22"/>
              </w:rPr>
              <w:t>Quality Affordable Rental Housing</w:t>
            </w:r>
          </w:p>
        </w:tc>
        <w:tc>
          <w:tcPr>
            <w:tcW w:w="0" w:type="auto"/>
            <w:vAlign w:val="center"/>
          </w:tcPr>
          <w:p w:rsidR="0011119D" w:rsidRDefault="00614B27">
            <w:pPr>
              <w:spacing w:beforeAutospacing="1" w:afterAutospacing="1"/>
            </w:pPr>
            <w:r>
              <w:rPr>
                <w:color w:val="000000"/>
                <w:sz w:val="22"/>
              </w:rPr>
              <w:t>Affordable Housing</w:t>
            </w:r>
          </w:p>
        </w:tc>
        <w:tc>
          <w:tcPr>
            <w:tcW w:w="0" w:type="auto"/>
            <w:vAlign w:val="center"/>
          </w:tcPr>
          <w:p w:rsidR="0011119D" w:rsidRDefault="00614B27">
            <w:pPr>
              <w:spacing w:beforeAutospacing="1" w:afterAutospacing="1"/>
            </w:pPr>
            <w:r>
              <w:rPr>
                <w:color w:val="000000"/>
                <w:sz w:val="22"/>
              </w:rPr>
              <w:t>CDBG: $</w:t>
            </w:r>
          </w:p>
        </w:tc>
        <w:tc>
          <w:tcPr>
            <w:tcW w:w="0" w:type="auto"/>
            <w:vAlign w:val="center"/>
          </w:tcPr>
          <w:p w:rsidR="0011119D" w:rsidRDefault="00614B27">
            <w:pPr>
              <w:spacing w:beforeAutospacing="1" w:afterAutospacing="1"/>
            </w:pPr>
            <w:r>
              <w:rPr>
                <w:color w:val="000000"/>
                <w:sz w:val="22"/>
              </w:rPr>
              <w:t>Homeowner Housing Rehabilitated</w:t>
            </w:r>
          </w:p>
        </w:tc>
        <w:tc>
          <w:tcPr>
            <w:tcW w:w="0" w:type="auto"/>
            <w:vAlign w:val="center"/>
          </w:tcPr>
          <w:p w:rsidR="0011119D" w:rsidRDefault="00614B27">
            <w:pPr>
              <w:spacing w:beforeAutospacing="1" w:afterAutospacing="1"/>
            </w:pPr>
            <w:r>
              <w:rPr>
                <w:color w:val="000000"/>
                <w:sz w:val="22"/>
              </w:rPr>
              <w:t>Household Housing Unit</w:t>
            </w:r>
          </w:p>
        </w:tc>
        <w:tc>
          <w:tcPr>
            <w:tcW w:w="0" w:type="auto"/>
            <w:vAlign w:val="center"/>
          </w:tcPr>
          <w:p w:rsidR="0011119D" w:rsidRDefault="00614B27">
            <w:pPr>
              <w:spacing w:beforeAutospacing="1" w:afterAutospacing="1"/>
            </w:pPr>
            <w:r>
              <w:rPr>
                <w:color w:val="000000"/>
                <w:sz w:val="22"/>
              </w:rPr>
              <w:t>0</w:t>
            </w:r>
          </w:p>
        </w:tc>
        <w:tc>
          <w:tcPr>
            <w:tcW w:w="0" w:type="auto"/>
            <w:vAlign w:val="center"/>
          </w:tcPr>
          <w:p w:rsidR="0011119D" w:rsidRDefault="00614B27">
            <w:pPr>
              <w:spacing w:beforeAutospacing="1" w:afterAutospacing="1"/>
            </w:pPr>
            <w:r>
              <w:rPr>
                <w:color w:val="000000"/>
                <w:sz w:val="22"/>
              </w:rPr>
              <w:t>1</w:t>
            </w:r>
          </w:p>
        </w:tc>
        <w:tc>
          <w:tcPr>
            <w:tcW w:w="0" w:type="auto"/>
            <w:vAlign w:val="center"/>
          </w:tcPr>
          <w:p w:rsidR="0011119D" w:rsidRDefault="00614B27">
            <w:pPr>
              <w:spacing w:beforeAutospacing="1" w:afterAutospacing="1"/>
            </w:pPr>
            <w:r>
              <w:rPr>
                <w:color w:val="000000"/>
                <w:sz w:val="22"/>
              </w:rPr>
              <w:t xml:space="preserve"> </w:t>
            </w:r>
          </w:p>
        </w:tc>
        <w:tc>
          <w:tcPr>
            <w:tcW w:w="0" w:type="auto"/>
            <w:vAlign w:val="center"/>
          </w:tcPr>
          <w:p w:rsidR="0011119D" w:rsidRDefault="00614B27">
            <w:pPr>
              <w:spacing w:beforeAutospacing="1" w:afterAutospacing="1"/>
            </w:pPr>
            <w:r>
              <w:rPr>
                <w:color w:val="000000"/>
                <w:sz w:val="22"/>
              </w:rPr>
              <w:t>0</w:t>
            </w:r>
          </w:p>
        </w:tc>
        <w:tc>
          <w:tcPr>
            <w:tcW w:w="0" w:type="auto"/>
            <w:vAlign w:val="center"/>
          </w:tcPr>
          <w:p w:rsidR="0011119D" w:rsidRDefault="00D0647A">
            <w:pPr>
              <w:spacing w:beforeAutospacing="1" w:afterAutospacing="1"/>
            </w:pPr>
            <w:r>
              <w:rPr>
                <w:color w:val="000000"/>
                <w:sz w:val="22"/>
              </w:rPr>
              <w:t>5</w:t>
            </w:r>
          </w:p>
        </w:tc>
        <w:tc>
          <w:tcPr>
            <w:tcW w:w="0" w:type="auto"/>
            <w:vAlign w:val="center"/>
          </w:tcPr>
          <w:p w:rsidR="0011119D" w:rsidRDefault="00614B27">
            <w:pPr>
              <w:spacing w:beforeAutospacing="1" w:afterAutospacing="1"/>
            </w:pPr>
            <w:r>
              <w:rPr>
                <w:color w:val="000000"/>
                <w:sz w:val="22"/>
              </w:rPr>
              <w:t xml:space="preserve"> </w:t>
            </w:r>
          </w:p>
        </w:tc>
      </w:tr>
    </w:tbl>
    <w:p w:rsidR="0011119D" w:rsidRDefault="00614B2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64314">
        <w:rPr>
          <w:rFonts w:asciiTheme="minorHAnsi" w:hAnsiTheme="minorHAnsi"/>
          <w:noProof/>
        </w:rPr>
        <w:t>1</w:t>
      </w:r>
      <w:r>
        <w:rPr>
          <w:rFonts w:asciiTheme="minorHAnsi" w:hAnsiTheme="minorHAnsi"/>
        </w:rPr>
        <w:fldChar w:fldCharType="end"/>
      </w:r>
      <w:r>
        <w:rPr>
          <w:rFonts w:asciiTheme="minorHAnsi" w:hAnsiTheme="minorHAnsi"/>
        </w:rPr>
        <w:t xml:space="preserve"> - Accomplishments – Program Year &amp; Strategic Plan to Date</w:t>
      </w:r>
    </w:p>
    <w:p w:rsidR="0011119D" w:rsidRDefault="0011119D">
      <w:pPr>
        <w:spacing w:after="0" w:line="240" w:lineRule="auto"/>
      </w:pPr>
    </w:p>
    <w:p w:rsidR="0011119D" w:rsidRDefault="00614B27">
      <w:pPr>
        <w:keepNext/>
        <w:widowControl w:val="0"/>
        <w:rPr>
          <w:b/>
          <w:sz w:val="24"/>
          <w:szCs w:val="24"/>
        </w:rPr>
      </w:pPr>
      <w:r>
        <w:rPr>
          <w:b/>
          <w:sz w:val="24"/>
          <w:szCs w:val="24"/>
        </w:rPr>
        <w:t>Assess how the jurisdiction’s use of funds, particularly CDBG, addresses the priorities and specific objectives identified in the plan,</w:t>
      </w:r>
      <w:r w:rsidR="00EA3135">
        <w:rPr>
          <w:b/>
          <w:sz w:val="24"/>
          <w:szCs w:val="24"/>
        </w:rPr>
        <w:t xml:space="preserve"> </w:t>
      </w:r>
      <w:r>
        <w:rPr>
          <w:b/>
          <w:sz w:val="24"/>
          <w:szCs w:val="24"/>
        </w:rPr>
        <w:t>giving special attention to the highest priority activities identified.</w:t>
      </w:r>
    </w:p>
    <w:p w:rsidR="0011119D" w:rsidRDefault="0011119D">
      <w:pPr>
        <w:keepNext/>
        <w:widowControl w:val="0"/>
        <w:spacing w:line="204" w:lineRule="auto"/>
        <w:rPr>
          <w:b/>
          <w:sz w:val="24"/>
          <w:szCs w:val="24"/>
        </w:rPr>
      </w:pPr>
    </w:p>
    <w:p w:rsidR="000B26B2" w:rsidRPr="00701E9B" w:rsidRDefault="000B26B2" w:rsidP="000B26B2">
      <w:pPr>
        <w:rPr>
          <w:rFonts w:eastAsia="Times New Roman"/>
          <w:sz w:val="26"/>
          <w:szCs w:val="26"/>
        </w:rPr>
        <w:sectPr w:rsidR="000B26B2" w:rsidRPr="00701E9B">
          <w:footerReference w:type="default" r:id="rId8"/>
          <w:pgSz w:w="15840" w:h="12240" w:orient="landscape"/>
          <w:pgMar w:top="1440" w:right="1440" w:bottom="1440" w:left="1440" w:header="720" w:footer="720" w:gutter="0"/>
          <w:cols w:space="720"/>
          <w:docGrid w:linePitch="360"/>
        </w:sectPr>
      </w:pPr>
      <w:r w:rsidRPr="008C6C2D">
        <w:rPr>
          <w:rFonts w:eastAsia="Times New Roman"/>
          <w:sz w:val="26"/>
          <w:szCs w:val="26"/>
        </w:rPr>
        <w:t>The City’s use of funds addressed the quality affordable housing priority by providing rental and utility assistance payments to 16</w:t>
      </w:r>
      <w:r w:rsidR="001846EE" w:rsidRPr="008C6C2D">
        <w:rPr>
          <w:rFonts w:eastAsia="Times New Roman"/>
          <w:sz w:val="26"/>
          <w:szCs w:val="26"/>
        </w:rPr>
        <w:t>7</w:t>
      </w:r>
      <w:r w:rsidRPr="008C6C2D">
        <w:rPr>
          <w:rFonts w:eastAsia="Times New Roman"/>
          <w:sz w:val="26"/>
          <w:szCs w:val="26"/>
        </w:rPr>
        <w:t xml:space="preserve"> LMI households</w:t>
      </w:r>
      <w:r w:rsidR="001846EE" w:rsidRPr="008C6C2D">
        <w:rPr>
          <w:rFonts w:eastAsia="Times New Roman"/>
          <w:sz w:val="26"/>
          <w:szCs w:val="26"/>
        </w:rPr>
        <w:t xml:space="preserve"> and private property improvements for </w:t>
      </w:r>
      <w:r w:rsidR="008C6C2D" w:rsidRPr="008C6C2D">
        <w:rPr>
          <w:rFonts w:eastAsia="Times New Roman"/>
          <w:sz w:val="26"/>
          <w:szCs w:val="26"/>
        </w:rPr>
        <w:t>creating suitable living environments</w:t>
      </w:r>
      <w:r w:rsidR="001846EE" w:rsidRPr="008C6C2D">
        <w:rPr>
          <w:rFonts w:eastAsia="Times New Roman"/>
          <w:sz w:val="26"/>
          <w:szCs w:val="26"/>
        </w:rPr>
        <w:t xml:space="preserve"> for 9 households</w:t>
      </w:r>
      <w:r w:rsidRPr="008C6C2D">
        <w:rPr>
          <w:rFonts w:eastAsia="Times New Roman"/>
          <w:sz w:val="26"/>
          <w:szCs w:val="26"/>
        </w:rPr>
        <w:t xml:space="preserve">.  The economic opportunity priority was addressed by </w:t>
      </w:r>
      <w:r w:rsidR="001846EE" w:rsidRPr="008C6C2D">
        <w:rPr>
          <w:rFonts w:eastAsia="Times New Roman"/>
          <w:sz w:val="26"/>
          <w:szCs w:val="26"/>
        </w:rPr>
        <w:t>25</w:t>
      </w:r>
      <w:r w:rsidRPr="008C6C2D">
        <w:rPr>
          <w:rFonts w:eastAsia="Times New Roman"/>
          <w:sz w:val="26"/>
          <w:szCs w:val="26"/>
        </w:rPr>
        <w:t xml:space="preserve"> at-risk youth receiving mentoring services</w:t>
      </w:r>
      <w:r w:rsidR="001846EE" w:rsidRPr="008C6C2D">
        <w:rPr>
          <w:rFonts w:eastAsia="Times New Roman"/>
          <w:sz w:val="26"/>
          <w:szCs w:val="26"/>
        </w:rPr>
        <w:t>, 32 individuals receiving public transit work access passes,</w:t>
      </w:r>
      <w:r w:rsidRPr="008C6C2D">
        <w:rPr>
          <w:rFonts w:eastAsia="Times New Roman"/>
          <w:sz w:val="26"/>
          <w:szCs w:val="26"/>
        </w:rPr>
        <w:t xml:space="preserve"> and </w:t>
      </w:r>
      <w:r w:rsidR="001846EE" w:rsidRPr="008C6C2D">
        <w:rPr>
          <w:rFonts w:eastAsia="Times New Roman"/>
          <w:sz w:val="26"/>
          <w:szCs w:val="26"/>
        </w:rPr>
        <w:t>3</w:t>
      </w:r>
      <w:r w:rsidRPr="008C6C2D">
        <w:rPr>
          <w:rFonts w:eastAsia="Times New Roman"/>
          <w:sz w:val="26"/>
          <w:szCs w:val="26"/>
        </w:rPr>
        <w:t xml:space="preserve"> businesses were </w:t>
      </w:r>
      <w:r w:rsidR="001846EE" w:rsidRPr="008C6C2D">
        <w:rPr>
          <w:rFonts w:eastAsia="Times New Roman"/>
          <w:sz w:val="26"/>
          <w:szCs w:val="26"/>
        </w:rPr>
        <w:t>created and 3</w:t>
      </w:r>
      <w:r w:rsidRPr="008C6C2D">
        <w:rPr>
          <w:rFonts w:eastAsia="Times New Roman"/>
          <w:sz w:val="26"/>
          <w:szCs w:val="26"/>
        </w:rPr>
        <w:t xml:space="preserve"> new jobs were created.</w:t>
      </w:r>
    </w:p>
    <w:p w:rsidR="0011119D" w:rsidRDefault="0011119D">
      <w:pPr>
        <w:rPr>
          <w:b/>
          <w:i/>
          <w:sz w:val="26"/>
          <w:szCs w:val="26"/>
        </w:rPr>
        <w:sectPr w:rsidR="0011119D">
          <w:footerReference w:type="default" r:id="rId9"/>
          <w:pgSz w:w="15840" w:h="12240" w:orient="landscape"/>
          <w:pgMar w:top="1440" w:right="1440" w:bottom="1440" w:left="1440" w:header="720" w:footer="720" w:gutter="0"/>
          <w:cols w:space="720"/>
          <w:docGrid w:linePitch="360"/>
        </w:sectPr>
      </w:pPr>
    </w:p>
    <w:p w:rsidR="0011119D" w:rsidRDefault="00614B27">
      <w:pPr>
        <w:pStyle w:val="Heading2"/>
        <w:rPr>
          <w:rFonts w:asciiTheme="minorHAnsi" w:hAnsiTheme="minorHAnsi"/>
          <w:i w:val="0"/>
        </w:rPr>
      </w:pPr>
      <w:bookmarkStart w:id="0" w:name="_Toc309810474"/>
      <w:r>
        <w:rPr>
          <w:rFonts w:asciiTheme="minorHAnsi" w:hAnsiTheme="minorHAnsi"/>
          <w:i w:val="0"/>
        </w:rPr>
        <w:t>CR-10 - Racial and Ethnic composition of families assisted</w:t>
      </w:r>
    </w:p>
    <w:p w:rsidR="0011119D" w:rsidRDefault="00614B27">
      <w:pPr>
        <w:keepNext/>
        <w:widowControl w:val="0"/>
        <w:rPr>
          <w:b/>
          <w:sz w:val="24"/>
          <w:szCs w:val="24"/>
        </w:rPr>
      </w:pPr>
      <w:r>
        <w:rPr>
          <w:b/>
          <w:sz w:val="24"/>
          <w:szCs w:val="24"/>
        </w:rPr>
        <w:t xml:space="preserve">Describe the families assisted (including the racial and ethnic status of families assisted). 91.520(a) </w:t>
      </w:r>
    </w:p>
    <w:p w:rsidR="0011119D" w:rsidRDefault="0011119D">
      <w:pPr>
        <w:widowControl w:val="0"/>
        <w:spacing w:after="0" w:line="240" w:lineRule="auto"/>
        <w:rPr>
          <w:b/>
          <w:vanish/>
          <w:sz w:val="24"/>
          <w:szCs w:val="24"/>
        </w:rPr>
      </w:pPr>
    </w:p>
    <w:tbl>
      <w:tblPr>
        <w:tblW w:w="333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3"/>
        <w:gridCol w:w="1528"/>
      </w:tblGrid>
      <w:tr w:rsidR="0011119D">
        <w:trPr>
          <w:cantSplit/>
          <w:hidden/>
        </w:trPr>
        <w:tc>
          <w:tcPr>
            <w:tcW w:w="3773" w:type="pct"/>
          </w:tcPr>
          <w:p w:rsidR="0011119D" w:rsidRDefault="0011119D">
            <w:pPr>
              <w:widowControl w:val="0"/>
              <w:spacing w:after="0" w:line="240" w:lineRule="auto"/>
              <w:rPr>
                <w:vanish/>
              </w:rPr>
            </w:pPr>
          </w:p>
        </w:tc>
        <w:tc>
          <w:tcPr>
            <w:tcW w:w="1226" w:type="pct"/>
          </w:tcPr>
          <w:p w:rsidR="0011119D" w:rsidRDefault="00614B27">
            <w:pPr>
              <w:spacing w:after="0"/>
              <w:jc w:val="center"/>
              <w:rPr>
                <w:b/>
              </w:rPr>
            </w:pPr>
            <w:r>
              <w:rPr>
                <w:b/>
              </w:rPr>
              <w:t>CDBG</w:t>
            </w:r>
          </w:p>
        </w:tc>
      </w:tr>
      <w:tr w:rsidR="0011119D">
        <w:trPr>
          <w:cantSplit/>
        </w:trPr>
        <w:tc>
          <w:tcPr>
            <w:tcW w:w="4823" w:type="dxa"/>
            <w:vAlign w:val="bottom"/>
          </w:tcPr>
          <w:p w:rsidR="0011119D" w:rsidRDefault="00614B27">
            <w:pPr>
              <w:spacing w:beforeAutospacing="1" w:afterAutospacing="1"/>
            </w:pPr>
            <w:r>
              <w:rPr>
                <w:color w:val="000000"/>
              </w:rPr>
              <w:t>White</w:t>
            </w:r>
          </w:p>
        </w:tc>
        <w:tc>
          <w:tcPr>
            <w:tcW w:w="1568" w:type="dxa"/>
            <w:vAlign w:val="bottom"/>
          </w:tcPr>
          <w:p w:rsidR="0011119D" w:rsidRDefault="00614B27">
            <w:pPr>
              <w:spacing w:beforeAutospacing="1" w:afterAutospacing="1"/>
              <w:jc w:val="right"/>
            </w:pPr>
            <w:r>
              <w:rPr>
                <w:color w:val="000000"/>
              </w:rPr>
              <w:t>2,070</w:t>
            </w:r>
          </w:p>
        </w:tc>
      </w:tr>
      <w:tr w:rsidR="0011119D">
        <w:trPr>
          <w:cantSplit/>
        </w:trPr>
        <w:tc>
          <w:tcPr>
            <w:tcW w:w="4823" w:type="dxa"/>
            <w:vAlign w:val="bottom"/>
          </w:tcPr>
          <w:p w:rsidR="0011119D" w:rsidRDefault="00614B27">
            <w:pPr>
              <w:spacing w:beforeAutospacing="1" w:afterAutospacing="1"/>
            </w:pPr>
            <w:r>
              <w:rPr>
                <w:color w:val="000000"/>
              </w:rPr>
              <w:t>Black or African American</w:t>
            </w:r>
          </w:p>
        </w:tc>
        <w:tc>
          <w:tcPr>
            <w:tcW w:w="1568" w:type="dxa"/>
            <w:vAlign w:val="bottom"/>
          </w:tcPr>
          <w:p w:rsidR="0011119D" w:rsidRDefault="00614B27">
            <w:pPr>
              <w:spacing w:beforeAutospacing="1" w:afterAutospacing="1"/>
              <w:jc w:val="right"/>
            </w:pPr>
            <w:r>
              <w:rPr>
                <w:color w:val="000000"/>
              </w:rPr>
              <w:t>853</w:t>
            </w:r>
          </w:p>
        </w:tc>
      </w:tr>
      <w:tr w:rsidR="0011119D">
        <w:trPr>
          <w:cantSplit/>
        </w:trPr>
        <w:tc>
          <w:tcPr>
            <w:tcW w:w="4823" w:type="dxa"/>
            <w:vAlign w:val="bottom"/>
          </w:tcPr>
          <w:p w:rsidR="0011119D" w:rsidRDefault="00614B27">
            <w:pPr>
              <w:spacing w:beforeAutospacing="1" w:afterAutospacing="1"/>
            </w:pPr>
            <w:r>
              <w:rPr>
                <w:color w:val="000000"/>
              </w:rPr>
              <w:t>Asian</w:t>
            </w:r>
          </w:p>
        </w:tc>
        <w:tc>
          <w:tcPr>
            <w:tcW w:w="1568" w:type="dxa"/>
            <w:vAlign w:val="bottom"/>
          </w:tcPr>
          <w:p w:rsidR="0011119D" w:rsidRDefault="00614B27">
            <w:pPr>
              <w:spacing w:beforeAutospacing="1" w:afterAutospacing="1"/>
              <w:jc w:val="right"/>
            </w:pPr>
            <w:r>
              <w:rPr>
                <w:color w:val="000000"/>
              </w:rPr>
              <w:t>7</w:t>
            </w:r>
          </w:p>
        </w:tc>
      </w:tr>
      <w:tr w:rsidR="0011119D">
        <w:trPr>
          <w:cantSplit/>
        </w:trPr>
        <w:tc>
          <w:tcPr>
            <w:tcW w:w="4823" w:type="dxa"/>
            <w:vAlign w:val="bottom"/>
          </w:tcPr>
          <w:p w:rsidR="0011119D" w:rsidRDefault="00614B27">
            <w:pPr>
              <w:spacing w:beforeAutospacing="1" w:afterAutospacing="1"/>
            </w:pPr>
            <w:r>
              <w:rPr>
                <w:color w:val="000000"/>
              </w:rPr>
              <w:t>American Indian or American Native</w:t>
            </w:r>
          </w:p>
        </w:tc>
        <w:tc>
          <w:tcPr>
            <w:tcW w:w="1568" w:type="dxa"/>
            <w:vAlign w:val="bottom"/>
          </w:tcPr>
          <w:p w:rsidR="0011119D" w:rsidRDefault="00614B27">
            <w:pPr>
              <w:spacing w:beforeAutospacing="1" w:afterAutospacing="1"/>
              <w:jc w:val="right"/>
            </w:pPr>
            <w:r>
              <w:rPr>
                <w:color w:val="000000"/>
              </w:rPr>
              <w:t>22</w:t>
            </w:r>
          </w:p>
        </w:tc>
      </w:tr>
      <w:tr w:rsidR="0011119D">
        <w:trPr>
          <w:cantSplit/>
        </w:trPr>
        <w:tc>
          <w:tcPr>
            <w:tcW w:w="4823" w:type="dxa"/>
            <w:vAlign w:val="bottom"/>
          </w:tcPr>
          <w:p w:rsidR="0011119D" w:rsidRDefault="00614B27">
            <w:pPr>
              <w:spacing w:beforeAutospacing="1" w:afterAutospacing="1"/>
            </w:pPr>
            <w:r>
              <w:rPr>
                <w:color w:val="000000"/>
              </w:rPr>
              <w:t>Native Hawaiian or Other Pacific Islander</w:t>
            </w:r>
          </w:p>
        </w:tc>
        <w:tc>
          <w:tcPr>
            <w:tcW w:w="1568" w:type="dxa"/>
            <w:vAlign w:val="bottom"/>
          </w:tcPr>
          <w:p w:rsidR="0011119D" w:rsidRDefault="00614B27">
            <w:pPr>
              <w:spacing w:beforeAutospacing="1" w:afterAutospacing="1"/>
              <w:jc w:val="right"/>
            </w:pPr>
            <w:r>
              <w:rPr>
                <w:color w:val="000000"/>
              </w:rPr>
              <w:t>0</w:t>
            </w:r>
          </w:p>
        </w:tc>
      </w:tr>
    </w:tbl>
    <w:p w:rsidR="0011119D" w:rsidRDefault="0011119D">
      <w:pPr>
        <w:pStyle w:val="NoSpacing"/>
        <w:rPr>
          <w:vanish/>
        </w:rPr>
      </w:pPr>
    </w:p>
    <w:tbl>
      <w:tblPr>
        <w:tblW w:w="33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3"/>
        <w:gridCol w:w="1528"/>
        <w:gridCol w:w="20"/>
      </w:tblGrid>
      <w:tr w:rsidR="0011119D">
        <w:trPr>
          <w:cantSplit/>
          <w:hidden/>
        </w:trPr>
        <w:tc>
          <w:tcPr>
            <w:tcW w:w="3761" w:type="pct"/>
          </w:tcPr>
          <w:p w:rsidR="0011119D" w:rsidRDefault="0011119D">
            <w:pPr>
              <w:widowControl w:val="0"/>
              <w:spacing w:after="0" w:line="240" w:lineRule="auto"/>
              <w:rPr>
                <w:vanish/>
              </w:rPr>
            </w:pPr>
          </w:p>
        </w:tc>
        <w:tc>
          <w:tcPr>
            <w:tcW w:w="1239" w:type="pct"/>
            <w:gridSpan w:val="2"/>
          </w:tcPr>
          <w:p w:rsidR="0011119D" w:rsidRDefault="0011119D">
            <w:pPr>
              <w:widowControl w:val="0"/>
              <w:spacing w:after="0" w:line="240" w:lineRule="auto"/>
              <w:jc w:val="center"/>
              <w:rPr>
                <w:b/>
                <w:vanish/>
              </w:rPr>
            </w:pPr>
          </w:p>
        </w:tc>
      </w:tr>
      <w:tr w:rsidR="0011119D">
        <w:trPr>
          <w:gridAfter w:val="1"/>
          <w:wAfter w:w="21" w:type="dxa"/>
          <w:cantSplit/>
        </w:trPr>
        <w:tc>
          <w:tcPr>
            <w:tcW w:w="4823" w:type="dxa"/>
            <w:vAlign w:val="bottom"/>
          </w:tcPr>
          <w:p w:rsidR="0011119D" w:rsidRDefault="00614B27">
            <w:pPr>
              <w:spacing w:beforeAutospacing="1" w:afterAutospacing="1"/>
            </w:pPr>
            <w:r>
              <w:rPr>
                <w:b/>
                <w:color w:val="000000"/>
              </w:rPr>
              <w:t>Total</w:t>
            </w:r>
          </w:p>
        </w:tc>
        <w:tc>
          <w:tcPr>
            <w:tcW w:w="1568" w:type="dxa"/>
            <w:vAlign w:val="bottom"/>
          </w:tcPr>
          <w:p w:rsidR="0011119D" w:rsidRDefault="00614B27">
            <w:pPr>
              <w:spacing w:beforeAutospacing="1" w:afterAutospacing="1"/>
              <w:jc w:val="right"/>
            </w:pPr>
            <w:r>
              <w:rPr>
                <w:b/>
                <w:color w:val="000000"/>
              </w:rPr>
              <w:t>2,952</w:t>
            </w:r>
          </w:p>
        </w:tc>
      </w:tr>
    </w:tbl>
    <w:p w:rsidR="0011119D" w:rsidRDefault="0011119D">
      <w:pPr>
        <w:pStyle w:val="NoSpacing"/>
        <w:rPr>
          <w:vanish/>
        </w:rPr>
      </w:pPr>
    </w:p>
    <w:tbl>
      <w:tblPr>
        <w:tblW w:w="334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03"/>
        <w:gridCol w:w="1528"/>
        <w:gridCol w:w="20"/>
      </w:tblGrid>
      <w:tr w:rsidR="0011119D">
        <w:trPr>
          <w:cantSplit/>
          <w:hidden/>
        </w:trPr>
        <w:tc>
          <w:tcPr>
            <w:tcW w:w="3761" w:type="pct"/>
          </w:tcPr>
          <w:p w:rsidR="0011119D" w:rsidRDefault="0011119D">
            <w:pPr>
              <w:widowControl w:val="0"/>
              <w:spacing w:after="0" w:line="240" w:lineRule="auto"/>
              <w:rPr>
                <w:vanish/>
              </w:rPr>
            </w:pPr>
          </w:p>
        </w:tc>
        <w:tc>
          <w:tcPr>
            <w:tcW w:w="1239" w:type="pct"/>
            <w:gridSpan w:val="2"/>
          </w:tcPr>
          <w:p w:rsidR="0011119D" w:rsidRDefault="0011119D">
            <w:pPr>
              <w:widowControl w:val="0"/>
              <w:spacing w:after="0" w:line="240" w:lineRule="auto"/>
              <w:jc w:val="center"/>
              <w:rPr>
                <w:b/>
                <w:vanish/>
              </w:rPr>
            </w:pPr>
          </w:p>
        </w:tc>
      </w:tr>
      <w:tr w:rsidR="0011119D">
        <w:trPr>
          <w:gridAfter w:val="1"/>
          <w:wAfter w:w="21" w:type="dxa"/>
          <w:cantSplit/>
        </w:trPr>
        <w:tc>
          <w:tcPr>
            <w:tcW w:w="4823" w:type="dxa"/>
            <w:vAlign w:val="bottom"/>
          </w:tcPr>
          <w:p w:rsidR="0011119D" w:rsidRDefault="00614B27">
            <w:pPr>
              <w:spacing w:beforeAutospacing="1" w:afterAutospacing="1"/>
            </w:pPr>
            <w:r>
              <w:rPr>
                <w:color w:val="000000"/>
              </w:rPr>
              <w:t>Hispanic</w:t>
            </w:r>
          </w:p>
        </w:tc>
        <w:tc>
          <w:tcPr>
            <w:tcW w:w="1568" w:type="dxa"/>
            <w:vAlign w:val="bottom"/>
          </w:tcPr>
          <w:p w:rsidR="0011119D" w:rsidRDefault="00614B27">
            <w:pPr>
              <w:spacing w:beforeAutospacing="1" w:afterAutospacing="1"/>
              <w:jc w:val="right"/>
            </w:pPr>
            <w:r>
              <w:rPr>
                <w:color w:val="000000"/>
              </w:rPr>
              <w:t>70</w:t>
            </w:r>
          </w:p>
        </w:tc>
      </w:tr>
      <w:tr w:rsidR="0011119D">
        <w:trPr>
          <w:gridAfter w:val="1"/>
          <w:wAfter w:w="21" w:type="dxa"/>
          <w:cantSplit/>
        </w:trPr>
        <w:tc>
          <w:tcPr>
            <w:tcW w:w="4823" w:type="dxa"/>
            <w:vAlign w:val="bottom"/>
          </w:tcPr>
          <w:p w:rsidR="0011119D" w:rsidRDefault="00614B27">
            <w:pPr>
              <w:spacing w:beforeAutospacing="1" w:afterAutospacing="1"/>
            </w:pPr>
            <w:r>
              <w:rPr>
                <w:color w:val="000000"/>
              </w:rPr>
              <w:t>Not Hispanic</w:t>
            </w:r>
          </w:p>
        </w:tc>
        <w:tc>
          <w:tcPr>
            <w:tcW w:w="1568" w:type="dxa"/>
            <w:vAlign w:val="bottom"/>
          </w:tcPr>
          <w:p w:rsidR="0011119D" w:rsidRDefault="00614B27">
            <w:pPr>
              <w:spacing w:beforeAutospacing="1" w:afterAutospacing="1"/>
              <w:jc w:val="right"/>
            </w:pPr>
            <w:r>
              <w:rPr>
                <w:color w:val="000000"/>
              </w:rPr>
              <w:t>2,882</w:t>
            </w:r>
          </w:p>
        </w:tc>
      </w:tr>
    </w:tbl>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keepNext/>
        <w:widowControl w:val="0"/>
        <w:spacing w:after="0" w:line="240" w:lineRule="auto"/>
        <w:rPr>
          <w:b/>
          <w:vanish/>
          <w:sz w:val="24"/>
          <w:szCs w:val="24"/>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11119D">
      <w:pPr>
        <w:pStyle w:val="NoSpacing"/>
        <w:rPr>
          <w:vanish/>
        </w:rPr>
      </w:pPr>
    </w:p>
    <w:p w:rsidR="0011119D" w:rsidRDefault="00614B27">
      <w:pPr>
        <w:keepNext/>
        <w:widowControl w:val="0"/>
        <w:ind w:firstLine="720"/>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sidR="00664314">
        <w:rPr>
          <w:rFonts w:asciiTheme="minorHAnsi" w:hAnsiTheme="minorHAnsi"/>
          <w:b/>
          <w:noProof/>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source of funds</w:t>
      </w:r>
      <w:r>
        <w:rPr>
          <w:b/>
          <w:color w:val="000000" w:themeColor="text1"/>
          <w:sz w:val="20"/>
          <w:szCs w:val="20"/>
        </w:rPr>
        <w:t xml:space="preserve"> </w:t>
      </w:r>
    </w:p>
    <w:p w:rsidR="0011119D" w:rsidRDefault="0011119D">
      <w:pPr>
        <w:widowControl w:val="0"/>
        <w:rPr>
          <w:b/>
          <w:sz w:val="24"/>
          <w:szCs w:val="24"/>
        </w:rPr>
      </w:pPr>
    </w:p>
    <w:p w:rsidR="0011119D" w:rsidRDefault="00614B27">
      <w:pPr>
        <w:widowControl w:val="0"/>
        <w:rPr>
          <w:b/>
          <w:sz w:val="24"/>
          <w:szCs w:val="24"/>
        </w:rPr>
      </w:pPr>
      <w:r>
        <w:rPr>
          <w:b/>
          <w:sz w:val="24"/>
          <w:szCs w:val="24"/>
        </w:rPr>
        <w:t>Narrative</w:t>
      </w:r>
    </w:p>
    <w:p w:rsidR="00D0647A" w:rsidRPr="00D0647A" w:rsidRDefault="00D0647A" w:rsidP="00D0647A">
      <w:pPr>
        <w:rPr>
          <w:rStyle w:val="Emphasis"/>
        </w:rPr>
        <w:sectPr w:rsidR="00D0647A" w:rsidRPr="00D0647A">
          <w:pgSz w:w="12240" w:h="15840" w:code="1"/>
          <w:pgMar w:top="1440" w:right="1440" w:bottom="1440" w:left="1440" w:header="720" w:footer="720" w:gutter="0"/>
          <w:cols w:space="720"/>
          <w:docGrid w:linePitch="360"/>
        </w:sectPr>
      </w:pPr>
      <w:r>
        <w:t xml:space="preserve">White </w:t>
      </w:r>
      <w:proofErr w:type="gramStart"/>
      <w:r>
        <w:t>and  black</w:t>
      </w:r>
      <w:proofErr w:type="gramEnd"/>
      <w:r>
        <w:t xml:space="preserve"> represent the largest percentages at 77% and 29% respectively.  Hispanics represent 2%.</w:t>
      </w:r>
    </w:p>
    <w:bookmarkEnd w:id="0"/>
    <w:p w:rsidR="0011119D" w:rsidRDefault="00614B27">
      <w:pPr>
        <w:pStyle w:val="Heading2"/>
        <w:rPr>
          <w:rFonts w:ascii="Calibri" w:hAnsi="Calibri"/>
          <w:i w:val="0"/>
        </w:rPr>
      </w:pPr>
      <w:r>
        <w:rPr>
          <w:rFonts w:ascii="Calibri" w:hAnsi="Calibri"/>
          <w:i w:val="0"/>
        </w:rPr>
        <w:t>CR-15 - Resources and Investments 91.520(a)</w:t>
      </w:r>
    </w:p>
    <w:p w:rsidR="0011119D" w:rsidRDefault="00614B27">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2329"/>
        <w:gridCol w:w="2342"/>
        <w:gridCol w:w="2350"/>
      </w:tblGrid>
      <w:tr w:rsidR="0011119D">
        <w:trPr>
          <w:cantSplit/>
        </w:trPr>
        <w:tc>
          <w:tcPr>
            <w:tcW w:w="2394" w:type="dxa"/>
          </w:tcPr>
          <w:p w:rsidR="0011119D" w:rsidRDefault="00614B27">
            <w:pPr>
              <w:keepNext/>
              <w:widowControl w:val="0"/>
              <w:spacing w:after="0" w:line="240" w:lineRule="auto"/>
              <w:jc w:val="center"/>
              <w:rPr>
                <w:rFonts w:cs="Arial"/>
                <w:b/>
              </w:rPr>
            </w:pPr>
            <w:r>
              <w:rPr>
                <w:rFonts w:cs="Arial"/>
                <w:b/>
              </w:rPr>
              <w:t>Source of Funds</w:t>
            </w:r>
          </w:p>
        </w:tc>
        <w:tc>
          <w:tcPr>
            <w:tcW w:w="2394" w:type="dxa"/>
          </w:tcPr>
          <w:p w:rsidR="0011119D" w:rsidRDefault="00614B27">
            <w:pPr>
              <w:keepNext/>
              <w:widowControl w:val="0"/>
              <w:spacing w:after="0" w:line="240" w:lineRule="auto"/>
              <w:jc w:val="center"/>
              <w:rPr>
                <w:rFonts w:cs="Arial"/>
                <w:b/>
              </w:rPr>
            </w:pPr>
            <w:r>
              <w:rPr>
                <w:rFonts w:cs="Arial"/>
                <w:b/>
              </w:rPr>
              <w:t>Source</w:t>
            </w:r>
          </w:p>
        </w:tc>
        <w:tc>
          <w:tcPr>
            <w:tcW w:w="2394" w:type="dxa"/>
          </w:tcPr>
          <w:p w:rsidR="0011119D" w:rsidRDefault="00614B27">
            <w:pPr>
              <w:keepNext/>
              <w:spacing w:after="0" w:line="240" w:lineRule="auto"/>
              <w:jc w:val="center"/>
              <w:rPr>
                <w:rFonts w:cs="Arial"/>
                <w:b/>
              </w:rPr>
            </w:pPr>
            <w:r>
              <w:rPr>
                <w:rFonts w:cs="Arial"/>
                <w:b/>
              </w:rPr>
              <w:t>Resources Made Available</w:t>
            </w:r>
          </w:p>
        </w:tc>
        <w:tc>
          <w:tcPr>
            <w:tcW w:w="2394" w:type="dxa"/>
          </w:tcPr>
          <w:p w:rsidR="0011119D" w:rsidRDefault="00614B27">
            <w:pPr>
              <w:keepNext/>
              <w:widowControl w:val="0"/>
              <w:spacing w:after="0" w:line="240" w:lineRule="auto"/>
              <w:jc w:val="center"/>
              <w:rPr>
                <w:rFonts w:cs="Arial"/>
                <w:b/>
              </w:rPr>
            </w:pPr>
            <w:r>
              <w:rPr>
                <w:rFonts w:cs="Arial"/>
                <w:b/>
              </w:rPr>
              <w:t>Amount Expended During Program Year</w:t>
            </w:r>
          </w:p>
        </w:tc>
      </w:tr>
      <w:tr w:rsidR="0011119D">
        <w:trPr>
          <w:cantSplit/>
        </w:trPr>
        <w:tc>
          <w:tcPr>
            <w:tcW w:w="0" w:type="auto"/>
            <w:vAlign w:val="bottom"/>
          </w:tcPr>
          <w:p w:rsidR="0011119D" w:rsidRDefault="00614B27">
            <w:pPr>
              <w:spacing w:beforeAutospacing="1" w:afterAutospacing="1"/>
            </w:pPr>
            <w:r>
              <w:rPr>
                <w:color w:val="000000"/>
              </w:rPr>
              <w:t>CDBG</w:t>
            </w:r>
          </w:p>
        </w:tc>
        <w:tc>
          <w:tcPr>
            <w:tcW w:w="0" w:type="auto"/>
            <w:vAlign w:val="bottom"/>
          </w:tcPr>
          <w:p w:rsidR="0011119D" w:rsidRDefault="00614B27">
            <w:pPr>
              <w:spacing w:beforeAutospacing="1" w:afterAutospacing="1"/>
            </w:pPr>
            <w:r>
              <w:rPr>
                <w:color w:val="000000"/>
              </w:rPr>
              <w:t>CDBG</w:t>
            </w:r>
          </w:p>
        </w:tc>
        <w:tc>
          <w:tcPr>
            <w:tcW w:w="0" w:type="auto"/>
            <w:vAlign w:val="bottom"/>
          </w:tcPr>
          <w:p w:rsidR="0011119D" w:rsidRDefault="00614B27">
            <w:pPr>
              <w:spacing w:beforeAutospacing="1" w:afterAutospacing="1"/>
              <w:jc w:val="right"/>
            </w:pPr>
            <w:r>
              <w:rPr>
                <w:color w:val="000000"/>
              </w:rPr>
              <w:t>527,316</w:t>
            </w:r>
          </w:p>
        </w:tc>
        <w:tc>
          <w:tcPr>
            <w:tcW w:w="0" w:type="auto"/>
            <w:vAlign w:val="bottom"/>
          </w:tcPr>
          <w:p w:rsidR="0011119D" w:rsidRDefault="003B01C9" w:rsidP="00762F4C">
            <w:pPr>
              <w:spacing w:beforeAutospacing="1" w:afterAutospacing="1"/>
              <w:jc w:val="right"/>
            </w:pPr>
            <w:r>
              <w:rPr>
                <w:color w:val="000000"/>
              </w:rPr>
              <w:t>$</w:t>
            </w:r>
            <w:r w:rsidR="00762F4C">
              <w:rPr>
                <w:color w:val="000000"/>
              </w:rPr>
              <w:t>429,157.08</w:t>
            </w:r>
            <w:r w:rsidR="00614B27">
              <w:rPr>
                <w:color w:val="000000"/>
              </w:rPr>
              <w:t xml:space="preserve"> </w:t>
            </w:r>
          </w:p>
        </w:tc>
      </w:tr>
    </w:tbl>
    <w:p w:rsidR="0011119D" w:rsidRDefault="00614B2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64314">
        <w:rPr>
          <w:rFonts w:asciiTheme="minorHAnsi" w:hAnsiTheme="minorHAnsi"/>
          <w:noProof/>
        </w:rPr>
        <w:t>3</w:t>
      </w:r>
      <w:r>
        <w:rPr>
          <w:rFonts w:asciiTheme="minorHAnsi" w:hAnsiTheme="minorHAnsi"/>
        </w:rPr>
        <w:fldChar w:fldCharType="end"/>
      </w:r>
      <w:r>
        <w:rPr>
          <w:rFonts w:asciiTheme="minorHAnsi" w:hAnsiTheme="minorHAnsi"/>
        </w:rPr>
        <w:t xml:space="preserve"> - Resources Made Available</w:t>
      </w:r>
    </w:p>
    <w:p w:rsidR="0011119D" w:rsidRDefault="0011119D">
      <w:pPr>
        <w:spacing w:after="0" w:line="240" w:lineRule="auto"/>
        <w:rPr>
          <w:b/>
          <w:sz w:val="24"/>
          <w:szCs w:val="24"/>
        </w:rPr>
      </w:pPr>
    </w:p>
    <w:p w:rsidR="0011119D" w:rsidRDefault="00614B27">
      <w:pPr>
        <w:spacing w:after="0" w:line="240" w:lineRule="auto"/>
        <w:rPr>
          <w:b/>
          <w:sz w:val="24"/>
          <w:szCs w:val="24"/>
        </w:rPr>
      </w:pPr>
      <w:r>
        <w:rPr>
          <w:b/>
          <w:sz w:val="24"/>
          <w:szCs w:val="24"/>
        </w:rPr>
        <w:t>Narrative</w:t>
      </w:r>
    </w:p>
    <w:p w:rsidR="00EA3135" w:rsidRPr="00EA3135" w:rsidRDefault="00EA3135" w:rsidP="00EA3135">
      <w:pPr>
        <w:spacing w:beforeAutospacing="1" w:afterAutospacing="1"/>
        <w:rPr>
          <w:rFonts w:cs="Arial"/>
        </w:rPr>
      </w:pPr>
      <w:r w:rsidRPr="00EA3135">
        <w:rPr>
          <w:rFonts w:cs="Arial"/>
        </w:rPr>
        <w:t>For Year 1</w:t>
      </w:r>
      <w:r>
        <w:rPr>
          <w:rFonts w:cs="Arial"/>
        </w:rPr>
        <w:t>3</w:t>
      </w:r>
      <w:r w:rsidRPr="00EA3135">
        <w:rPr>
          <w:rFonts w:cs="Arial"/>
        </w:rPr>
        <w:t xml:space="preserve"> (Program Year 201</w:t>
      </w:r>
      <w:r>
        <w:rPr>
          <w:rFonts w:cs="Arial"/>
        </w:rPr>
        <w:t>6) the City received $527,316</w:t>
      </w:r>
      <w:r w:rsidRPr="00EA3135">
        <w:rPr>
          <w:rFonts w:cs="Arial"/>
        </w:rPr>
        <w:t xml:space="preserve"> of CDBG Entitlement funds from HUD. The amount expended to date reflects funds allocated to programs and public services, administration, and a fair housing education and outreach program.  Approximately 10% of the overall unexpended funds are allocated to the administration.  The remaining unexpended funds are allocated to the Neighborhood Improvements Program and which will be implemented during Year 13 (Program Year 2016).</w:t>
      </w:r>
    </w:p>
    <w:p w:rsidR="0011119D" w:rsidRDefault="0011119D">
      <w:pPr>
        <w:spacing w:after="0" w:line="240" w:lineRule="auto"/>
        <w:rPr>
          <w:b/>
          <w:sz w:val="24"/>
          <w:szCs w:val="24"/>
        </w:rPr>
      </w:pPr>
    </w:p>
    <w:p w:rsidR="0011119D" w:rsidRDefault="00614B27">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792"/>
        <w:gridCol w:w="1792"/>
        <w:gridCol w:w="3862"/>
      </w:tblGrid>
      <w:tr w:rsidR="0011119D">
        <w:trPr>
          <w:cantSplit/>
        </w:trPr>
        <w:tc>
          <w:tcPr>
            <w:tcW w:w="2394" w:type="dxa"/>
          </w:tcPr>
          <w:p w:rsidR="0011119D" w:rsidRDefault="00614B27">
            <w:pPr>
              <w:keepNext/>
              <w:widowControl w:val="0"/>
              <w:spacing w:after="0" w:line="240" w:lineRule="auto"/>
              <w:jc w:val="center"/>
              <w:rPr>
                <w:rFonts w:cs="Arial"/>
                <w:b/>
              </w:rPr>
            </w:pPr>
            <w:r>
              <w:rPr>
                <w:rFonts w:cs="Arial"/>
                <w:b/>
              </w:rPr>
              <w:t>Target Area</w:t>
            </w:r>
          </w:p>
        </w:tc>
        <w:tc>
          <w:tcPr>
            <w:tcW w:w="2394" w:type="dxa"/>
          </w:tcPr>
          <w:p w:rsidR="0011119D" w:rsidRDefault="00614B27">
            <w:pPr>
              <w:keepNext/>
              <w:widowControl w:val="0"/>
              <w:spacing w:after="0" w:line="240" w:lineRule="auto"/>
              <w:jc w:val="center"/>
              <w:rPr>
                <w:rFonts w:cs="Arial"/>
                <w:b/>
              </w:rPr>
            </w:pPr>
            <w:r>
              <w:rPr>
                <w:rFonts w:cs="Arial"/>
                <w:b/>
              </w:rPr>
              <w:t>Planned Percentage of Allocation</w:t>
            </w:r>
          </w:p>
        </w:tc>
        <w:tc>
          <w:tcPr>
            <w:tcW w:w="2394" w:type="dxa"/>
          </w:tcPr>
          <w:p w:rsidR="0011119D" w:rsidRDefault="00614B27">
            <w:pPr>
              <w:keepNext/>
              <w:spacing w:after="0" w:line="240" w:lineRule="auto"/>
              <w:jc w:val="center"/>
              <w:rPr>
                <w:rFonts w:cs="Arial"/>
                <w:b/>
              </w:rPr>
            </w:pPr>
            <w:r w:rsidRPr="003B01C9">
              <w:rPr>
                <w:rFonts w:cs="Arial"/>
                <w:b/>
              </w:rPr>
              <w:t>Actual Percentage of Allocation</w:t>
            </w:r>
          </w:p>
        </w:tc>
        <w:tc>
          <w:tcPr>
            <w:tcW w:w="2394" w:type="dxa"/>
          </w:tcPr>
          <w:p w:rsidR="0011119D" w:rsidRDefault="00614B27">
            <w:pPr>
              <w:keepNext/>
              <w:widowControl w:val="0"/>
              <w:spacing w:after="0" w:line="240" w:lineRule="auto"/>
              <w:jc w:val="center"/>
              <w:rPr>
                <w:rFonts w:cs="Arial"/>
                <w:b/>
              </w:rPr>
            </w:pPr>
            <w:r>
              <w:rPr>
                <w:rFonts w:cs="Arial"/>
                <w:b/>
              </w:rPr>
              <w:t>Narrative Description</w:t>
            </w:r>
          </w:p>
        </w:tc>
      </w:tr>
      <w:tr w:rsidR="0011119D">
        <w:trPr>
          <w:cantSplit/>
        </w:trPr>
        <w:tc>
          <w:tcPr>
            <w:tcW w:w="0" w:type="auto"/>
            <w:vAlign w:val="bottom"/>
          </w:tcPr>
          <w:p w:rsidR="0011119D" w:rsidRDefault="00614B27">
            <w:pPr>
              <w:spacing w:beforeAutospacing="1" w:afterAutospacing="1"/>
            </w:pPr>
            <w:r>
              <w:rPr>
                <w:color w:val="000000"/>
              </w:rPr>
              <w:t>BG Reinvestment Area</w:t>
            </w:r>
          </w:p>
        </w:tc>
        <w:tc>
          <w:tcPr>
            <w:tcW w:w="0" w:type="auto"/>
            <w:vAlign w:val="bottom"/>
          </w:tcPr>
          <w:p w:rsidR="0011119D" w:rsidRDefault="00614B27">
            <w:pPr>
              <w:spacing w:beforeAutospacing="1" w:afterAutospacing="1"/>
            </w:pPr>
            <w:r>
              <w:rPr>
                <w:color w:val="000000"/>
              </w:rPr>
              <w:t>60</w:t>
            </w:r>
          </w:p>
        </w:tc>
        <w:tc>
          <w:tcPr>
            <w:tcW w:w="0" w:type="auto"/>
            <w:vAlign w:val="bottom"/>
          </w:tcPr>
          <w:p w:rsidR="0011119D" w:rsidRDefault="00614B27">
            <w:pPr>
              <w:spacing w:beforeAutospacing="1" w:afterAutospacing="1"/>
            </w:pPr>
            <w:r>
              <w:rPr>
                <w:color w:val="000000"/>
              </w:rPr>
              <w:t xml:space="preserve"> </w:t>
            </w:r>
            <w:r w:rsidR="003B01C9">
              <w:rPr>
                <w:color w:val="000000"/>
              </w:rPr>
              <w:t>68%</w:t>
            </w:r>
          </w:p>
        </w:tc>
        <w:tc>
          <w:tcPr>
            <w:tcW w:w="0" w:type="auto"/>
            <w:vAlign w:val="bottom"/>
          </w:tcPr>
          <w:p w:rsidR="0011119D" w:rsidRDefault="00614B27">
            <w:pPr>
              <w:spacing w:beforeAutospacing="1" w:afterAutospacing="1"/>
            </w:pPr>
            <w:r>
              <w:rPr>
                <w:color w:val="000000"/>
              </w:rPr>
              <w:t xml:space="preserve"> </w:t>
            </w:r>
            <w:r w:rsidR="00EA3135">
              <w:rPr>
                <w:color w:val="000000"/>
              </w:rPr>
              <w:t>Neighborhood Improvements Program &amp; Programs/Public Services</w:t>
            </w:r>
          </w:p>
        </w:tc>
      </w:tr>
    </w:tbl>
    <w:p w:rsidR="0011119D" w:rsidRDefault="00614B2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64314">
        <w:rPr>
          <w:rFonts w:asciiTheme="minorHAnsi" w:hAnsiTheme="minorHAnsi"/>
          <w:noProof/>
        </w:rPr>
        <w:t>4</w:t>
      </w:r>
      <w:r>
        <w:rPr>
          <w:rFonts w:asciiTheme="minorHAnsi" w:hAnsiTheme="minorHAnsi"/>
        </w:rPr>
        <w:fldChar w:fldCharType="end"/>
      </w:r>
      <w:r>
        <w:rPr>
          <w:rFonts w:asciiTheme="minorHAnsi" w:hAnsiTheme="minorHAnsi"/>
        </w:rPr>
        <w:t xml:space="preserve"> – Identify the geographic distribution and location of investments</w:t>
      </w:r>
    </w:p>
    <w:p w:rsidR="0011119D" w:rsidRDefault="00614B27">
      <w:pPr>
        <w:widowControl w:val="0"/>
        <w:spacing w:line="204" w:lineRule="auto"/>
        <w:rPr>
          <w:b/>
          <w:sz w:val="24"/>
          <w:szCs w:val="24"/>
        </w:rPr>
      </w:pPr>
      <w:r>
        <w:rPr>
          <w:b/>
          <w:sz w:val="24"/>
          <w:szCs w:val="24"/>
        </w:rPr>
        <w:t>Narrative</w:t>
      </w:r>
    </w:p>
    <w:p w:rsidR="003B01C9" w:rsidRPr="003B01C9" w:rsidRDefault="00EA3135" w:rsidP="003B01C9">
      <w:pPr>
        <w:widowControl w:val="0"/>
        <w:spacing w:beforeAutospacing="1" w:afterAutospacing="1"/>
        <w:rPr>
          <w:rFonts w:cs="Arial"/>
        </w:rPr>
      </w:pPr>
      <w:r w:rsidRPr="00EA3135">
        <w:rPr>
          <w:rFonts w:cs="Arial"/>
        </w:rPr>
        <w:t>The City allocated 60% of its annual CDBG funding for the Neighborhood Improvements Program (NIP), the focus of the BG Reinvestment Area.  Year 1</w:t>
      </w:r>
      <w:r>
        <w:rPr>
          <w:rFonts w:cs="Arial"/>
        </w:rPr>
        <w:t xml:space="preserve">3 was the first year the City began implementing NIP projects as the prior </w:t>
      </w:r>
      <w:proofErr w:type="spellStart"/>
      <w:r>
        <w:rPr>
          <w:rFonts w:cs="Arial"/>
        </w:rPr>
        <w:t>to</w:t>
      </w:r>
      <w:proofErr w:type="spellEnd"/>
      <w:r>
        <w:rPr>
          <w:rFonts w:cs="Arial"/>
        </w:rPr>
        <w:t xml:space="preserve"> years were dedicated to planning activities for the program including the development of an NRSA.  The City received approval from HUD during Year 13 for designating the BG Reinvestment Area as a NRSA.</w:t>
      </w:r>
      <w:r w:rsidR="006D64BB">
        <w:rPr>
          <w:rFonts w:cs="Arial"/>
        </w:rPr>
        <w:t xml:space="preserve">  The first neighborhood of focus in the BG Reinvestment for the NIP was Census Block Group 105.2.  In this neighborhood the City completed the Josephine Sidewalk Project, finished phases of the Reservoir Hill Park </w:t>
      </w:r>
      <w:proofErr w:type="spellStart"/>
      <w:r w:rsidR="006D64BB">
        <w:rPr>
          <w:rFonts w:cs="Arial"/>
        </w:rPr>
        <w:t>Improvments</w:t>
      </w:r>
      <w:proofErr w:type="spellEnd"/>
      <w:r w:rsidR="006D64BB">
        <w:rPr>
          <w:rFonts w:cs="Arial"/>
        </w:rPr>
        <w:t xml:space="preserve"> Project, and completed several </w:t>
      </w:r>
      <w:r w:rsidR="00F048C5">
        <w:rPr>
          <w:rFonts w:cs="Arial"/>
        </w:rPr>
        <w:t>projects</w:t>
      </w:r>
      <w:r w:rsidR="006D64BB">
        <w:rPr>
          <w:rFonts w:cs="Arial"/>
        </w:rPr>
        <w:t xml:space="preserve"> under the </w:t>
      </w:r>
      <w:r w:rsidR="00F048C5">
        <w:rPr>
          <w:rFonts w:cs="Arial"/>
        </w:rPr>
        <w:t>Private Property Improvements Program.</w:t>
      </w:r>
      <w:r w:rsidR="003B01C9">
        <w:rPr>
          <w:rFonts w:cs="Arial"/>
        </w:rPr>
        <w:t xml:space="preserve">  Planning activities also began in the next neighborhood of focus in the BGRA, Census Tract 112.  Engineering design phases were complete for the following projects:  Lampkin Park Walking Trails, Census Tract 112 Sidewalks, and Pedigo Park Road Improvements.</w:t>
      </w:r>
    </w:p>
    <w:p w:rsidR="00EA3135" w:rsidRDefault="00EA3135" w:rsidP="00EA3135">
      <w:pPr>
        <w:widowControl w:val="0"/>
        <w:spacing w:beforeAutospacing="1" w:afterAutospacing="1"/>
        <w:rPr>
          <w:rFonts w:cs="Arial"/>
        </w:rPr>
      </w:pPr>
      <w:r w:rsidRPr="003B01C9">
        <w:rPr>
          <w:rFonts w:cs="Arial"/>
        </w:rPr>
        <w:t>The City also tracks programs and public services that are assisting persons residing in the BG Reinvestment Area.  During Year 1</w:t>
      </w:r>
      <w:r w:rsidR="006D64BB" w:rsidRPr="003B01C9">
        <w:rPr>
          <w:rFonts w:cs="Arial"/>
        </w:rPr>
        <w:t>3</w:t>
      </w:r>
      <w:r w:rsidRPr="003B01C9">
        <w:rPr>
          <w:rFonts w:cs="Arial"/>
        </w:rPr>
        <w:t xml:space="preserve">, an additional </w:t>
      </w:r>
      <w:r w:rsidR="00A95F6B">
        <w:rPr>
          <w:rFonts w:cs="Arial"/>
        </w:rPr>
        <w:t>9</w:t>
      </w:r>
      <w:r w:rsidRPr="003B01C9">
        <w:rPr>
          <w:rFonts w:cs="Arial"/>
        </w:rPr>
        <w:t xml:space="preserve">% of funds were utilized for programs and public services assisting persons from local target area.  This creates an overall total of 68% of funds being allocated to the BG Reinvestment Area.  The program overall served 128 persons from the target area with the most coming from the Bowling Green-Warren County Welfare Center’s Assistance Payments Program at </w:t>
      </w:r>
      <w:r w:rsidR="006D64BB" w:rsidRPr="003B01C9">
        <w:rPr>
          <w:rFonts w:cs="Arial"/>
        </w:rPr>
        <w:t>70 or 26</w:t>
      </w:r>
      <w:r w:rsidRPr="003B01C9">
        <w:rPr>
          <w:rFonts w:cs="Arial"/>
        </w:rPr>
        <w:t>% of the total persons served by the CDBG program.  Big Brothers Big Sisters of South Central Kentucky’s Y</w:t>
      </w:r>
      <w:r w:rsidR="006D64BB" w:rsidRPr="003B01C9">
        <w:rPr>
          <w:rFonts w:cs="Arial"/>
        </w:rPr>
        <w:t>outh Mentoring Program served 24</w:t>
      </w:r>
      <w:r w:rsidRPr="003B01C9">
        <w:rPr>
          <w:rFonts w:cs="Arial"/>
        </w:rPr>
        <w:t xml:space="preserve"> persons from the BG Reinvestment Area which represented </w:t>
      </w:r>
      <w:r w:rsidR="006D64BB" w:rsidRPr="003B01C9">
        <w:rPr>
          <w:rFonts w:cs="Arial"/>
        </w:rPr>
        <w:t>96</w:t>
      </w:r>
      <w:r w:rsidRPr="003B01C9">
        <w:rPr>
          <w:rFonts w:cs="Arial"/>
        </w:rPr>
        <w:t xml:space="preserve">% of its persons served from that particular CDBG program.  The Housing Authority of Bowling Green Small Business Program served </w:t>
      </w:r>
      <w:r w:rsidR="006D64BB" w:rsidRPr="003B01C9">
        <w:rPr>
          <w:rFonts w:cs="Arial"/>
        </w:rPr>
        <w:t>1</w:t>
      </w:r>
      <w:r w:rsidRPr="003B01C9">
        <w:rPr>
          <w:rFonts w:cs="Arial"/>
        </w:rPr>
        <w:t>7 individuals fr</w:t>
      </w:r>
      <w:r w:rsidR="006D64BB" w:rsidRPr="003B01C9">
        <w:rPr>
          <w:rFonts w:cs="Arial"/>
        </w:rPr>
        <w:t>om the BGRA which represented 22</w:t>
      </w:r>
      <w:r w:rsidRPr="003B01C9">
        <w:rPr>
          <w:rFonts w:cs="Arial"/>
        </w:rPr>
        <w:t>% of the total persons served by the program.</w:t>
      </w:r>
      <w:r w:rsidR="003B01C9" w:rsidRPr="003B01C9">
        <w:rPr>
          <w:rFonts w:cs="Arial"/>
        </w:rPr>
        <w:t xml:space="preserve">  Community Action of Southern Kentucky’s GO </w:t>
      </w:r>
      <w:proofErr w:type="spellStart"/>
      <w:proofErr w:type="gramStart"/>
      <w:r w:rsidR="003B01C9" w:rsidRPr="003B01C9">
        <w:rPr>
          <w:rFonts w:cs="Arial"/>
        </w:rPr>
        <w:t>bg</w:t>
      </w:r>
      <w:proofErr w:type="spellEnd"/>
      <w:proofErr w:type="gramEnd"/>
      <w:r w:rsidR="003B01C9" w:rsidRPr="003B01C9">
        <w:rPr>
          <w:rFonts w:cs="Arial"/>
        </w:rPr>
        <w:t xml:space="preserve"> Transit Work Access Pass Program served 18 individuals from the BGRA which represented 56% of the </w:t>
      </w:r>
      <w:proofErr w:type="spellStart"/>
      <w:r w:rsidR="003B01C9" w:rsidRPr="003B01C9">
        <w:rPr>
          <w:rFonts w:cs="Arial"/>
        </w:rPr>
        <w:t>toal</w:t>
      </w:r>
      <w:proofErr w:type="spellEnd"/>
      <w:r w:rsidR="003B01C9" w:rsidRPr="003B01C9">
        <w:rPr>
          <w:rFonts w:cs="Arial"/>
        </w:rPr>
        <w:t xml:space="preserve"> persons served under the program.</w:t>
      </w:r>
      <w:r w:rsidR="00A95F6B">
        <w:rPr>
          <w:rFonts w:cs="Arial"/>
        </w:rPr>
        <w:t xml:space="preserve">  United Way of Southern Kentucky’s 2-1-1 Program assisted 379 individuals from the BGRA which represented 14% of the total persons helped by the program.</w:t>
      </w:r>
    </w:p>
    <w:p w:rsidR="00EA3135" w:rsidRPr="00EA3135" w:rsidRDefault="00EA3135" w:rsidP="00EA3135">
      <w:pPr>
        <w:widowControl w:val="0"/>
        <w:spacing w:beforeAutospacing="1" w:afterAutospacing="1"/>
        <w:rPr>
          <w:rFonts w:cs="Arial"/>
        </w:rPr>
      </w:pPr>
      <w:r w:rsidRPr="00EA3135">
        <w:rPr>
          <w:rFonts w:cs="Arial"/>
          <w:highlight w:val="yellow"/>
        </w:rPr>
        <w:t>A map of geographic distribution of CDBG expenditures is included in Attachment 3.</w:t>
      </w:r>
    </w:p>
    <w:p w:rsidR="0011119D" w:rsidRDefault="00614B27">
      <w:pPr>
        <w:pageBreakBefore/>
        <w:widowControl w:val="0"/>
        <w:spacing w:line="240" w:lineRule="auto"/>
        <w:rPr>
          <w:b/>
          <w:sz w:val="24"/>
          <w:szCs w:val="24"/>
        </w:rPr>
      </w:pPr>
      <w:r>
        <w:rPr>
          <w:b/>
          <w:sz w:val="24"/>
          <w:szCs w:val="24"/>
        </w:rPr>
        <w:t>Leveraging</w:t>
      </w:r>
    </w:p>
    <w:p w:rsidR="0011119D" w:rsidRDefault="00614B27">
      <w:pPr>
        <w:widowControl w:val="0"/>
        <w:spacing w:line="240"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rsidR="00C82B82" w:rsidRPr="00C82B82" w:rsidRDefault="00C82B82" w:rsidP="00C82B82">
      <w:pPr>
        <w:widowControl w:val="0"/>
        <w:spacing w:beforeAutospacing="1" w:afterAutospacing="1"/>
        <w:rPr>
          <w:rFonts w:cs="Arial"/>
        </w:rPr>
      </w:pPr>
      <w:r w:rsidRPr="00C82B82">
        <w:rPr>
          <w:rFonts w:cs="Arial"/>
        </w:rPr>
        <w:t xml:space="preserve">CDBG funds were leveraged through private funds provided by awarded </w:t>
      </w:r>
      <w:proofErr w:type="spellStart"/>
      <w:r w:rsidRPr="00C82B82">
        <w:rPr>
          <w:rFonts w:cs="Arial"/>
        </w:rPr>
        <w:t>subrecipients</w:t>
      </w:r>
      <w:proofErr w:type="spellEnd"/>
      <w:r w:rsidRPr="00C82B82">
        <w:rPr>
          <w:rFonts w:cs="Arial"/>
        </w:rPr>
        <w:t xml:space="preserve">.  </w:t>
      </w:r>
      <w:proofErr w:type="spellStart"/>
      <w:r w:rsidRPr="00C82B82">
        <w:rPr>
          <w:rFonts w:cs="Arial"/>
        </w:rPr>
        <w:t>Subrecipients</w:t>
      </w:r>
      <w:proofErr w:type="spellEnd"/>
      <w:r w:rsidRPr="00C82B82">
        <w:rPr>
          <w:rFonts w:cs="Arial"/>
        </w:rPr>
        <w:t xml:space="preserve"> committed and expended approximately $</w:t>
      </w:r>
      <w:r w:rsidR="00CE25A8">
        <w:rPr>
          <w:rFonts w:cs="Arial"/>
        </w:rPr>
        <w:t>115,482</w:t>
      </w:r>
      <w:r w:rsidRPr="00C82B82">
        <w:rPr>
          <w:rFonts w:cs="Arial"/>
        </w:rPr>
        <w:t xml:space="preserve"> in matching funds during Year 1</w:t>
      </w:r>
      <w:r>
        <w:rPr>
          <w:rFonts w:cs="Arial"/>
        </w:rPr>
        <w:t>3</w:t>
      </w:r>
      <w:r w:rsidRPr="00C82B82">
        <w:rPr>
          <w:rFonts w:cs="Arial"/>
        </w:rPr>
        <w:t>.  The City does not require matching funds for its awarded programs, but they are strongly encouraged and make applications more competitive during the review and award process.</w:t>
      </w:r>
    </w:p>
    <w:p w:rsidR="00C82B82" w:rsidRPr="00C82B82" w:rsidRDefault="00C82B82" w:rsidP="00C82B82">
      <w:pPr>
        <w:widowControl w:val="0"/>
        <w:spacing w:beforeAutospacing="1" w:afterAutospacing="1"/>
        <w:rPr>
          <w:rFonts w:cs="Arial"/>
        </w:rPr>
      </w:pPr>
    </w:p>
    <w:p w:rsidR="0011119D" w:rsidRDefault="0011119D">
      <w:pPr>
        <w:widowControl w:val="0"/>
        <w:spacing w:after="0" w:line="240" w:lineRule="auto"/>
        <w:rPr>
          <w:sz w:val="24"/>
          <w:szCs w:val="24"/>
        </w:rPr>
      </w:pPr>
    </w:p>
    <w:p w:rsidR="0011119D" w:rsidRDefault="0011119D">
      <w:pPr>
        <w:spacing w:after="0" w:line="240" w:lineRule="auto"/>
      </w:pPr>
      <w:bookmarkStart w:id="1" w:name="_Toc309810475"/>
    </w:p>
    <w:p w:rsidR="0011119D" w:rsidRDefault="0011119D">
      <w:pPr>
        <w:sectPr w:rsidR="0011119D">
          <w:pgSz w:w="12240" w:h="15840" w:code="1"/>
          <w:pgMar w:top="1440" w:right="1440" w:bottom="1440" w:left="1440" w:header="720" w:footer="720" w:gutter="0"/>
          <w:cols w:space="720"/>
          <w:docGrid w:linePitch="360"/>
        </w:sectPr>
      </w:pPr>
    </w:p>
    <w:p w:rsidR="0011119D" w:rsidRDefault="00614B27">
      <w:pPr>
        <w:pStyle w:val="Heading2"/>
        <w:rPr>
          <w:rFonts w:ascii="Calibri" w:hAnsi="Calibri"/>
          <w:i w:val="0"/>
        </w:rPr>
      </w:pPr>
      <w:r>
        <w:rPr>
          <w:rFonts w:ascii="Calibri" w:hAnsi="Calibri"/>
          <w:i w:val="0"/>
        </w:rPr>
        <w:t>CR-20 - Affordable Housing 91.520(b)</w:t>
      </w:r>
    </w:p>
    <w:p w:rsidR="0011119D" w:rsidRDefault="00614B27">
      <w:pPr>
        <w:keepNext/>
        <w:widowControl w:val="0"/>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rsidR="0011119D" w:rsidRDefault="0011119D">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11119D">
        <w:trPr>
          <w:cantSplit/>
          <w:tblHeader/>
        </w:trPr>
        <w:tc>
          <w:tcPr>
            <w:tcW w:w="4293" w:type="dxa"/>
          </w:tcPr>
          <w:p w:rsidR="0011119D" w:rsidRDefault="0011119D">
            <w:pPr>
              <w:pStyle w:val="Caption"/>
              <w:keepNext/>
              <w:widowControl w:val="0"/>
              <w:jc w:val="center"/>
              <w:rPr>
                <w:rFonts w:ascii="Calibri" w:hAnsi="Calibri"/>
                <w:sz w:val="22"/>
                <w:szCs w:val="22"/>
              </w:rPr>
            </w:pPr>
          </w:p>
        </w:tc>
        <w:tc>
          <w:tcPr>
            <w:tcW w:w="2648" w:type="dxa"/>
          </w:tcPr>
          <w:p w:rsidR="0011119D" w:rsidRDefault="00614B27">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11119D" w:rsidRDefault="00614B27">
            <w:pPr>
              <w:pStyle w:val="Caption"/>
              <w:keepNext/>
              <w:widowControl w:val="0"/>
              <w:jc w:val="center"/>
              <w:rPr>
                <w:rFonts w:ascii="Calibri" w:hAnsi="Calibri"/>
                <w:sz w:val="22"/>
                <w:szCs w:val="22"/>
              </w:rPr>
            </w:pPr>
            <w:r>
              <w:rPr>
                <w:rFonts w:ascii="Calibri" w:hAnsi="Calibri"/>
                <w:sz w:val="22"/>
                <w:szCs w:val="22"/>
              </w:rPr>
              <w:t>Actual</w:t>
            </w:r>
          </w:p>
        </w:tc>
      </w:tr>
      <w:tr w:rsidR="0011119D">
        <w:trPr>
          <w:cantSplit/>
        </w:trPr>
        <w:tc>
          <w:tcPr>
            <w:tcW w:w="4293" w:type="dxa"/>
            <w:vAlign w:val="bottom"/>
          </w:tcPr>
          <w:p w:rsidR="0011119D" w:rsidRDefault="00614B27">
            <w:pPr>
              <w:spacing w:beforeAutospacing="1" w:afterAutospacing="1"/>
            </w:pPr>
            <w:r>
              <w:rPr>
                <w:color w:val="000000"/>
              </w:rPr>
              <w:t>Number of Homeless households to be provided affordable housing units</w:t>
            </w:r>
          </w:p>
        </w:tc>
        <w:tc>
          <w:tcPr>
            <w:tcW w:w="2648" w:type="dxa"/>
            <w:vAlign w:val="bottom"/>
          </w:tcPr>
          <w:p w:rsidR="0011119D" w:rsidRDefault="00614B27">
            <w:pPr>
              <w:spacing w:beforeAutospacing="1" w:afterAutospacing="1"/>
              <w:jc w:val="right"/>
            </w:pPr>
            <w:r>
              <w:rPr>
                <w:color w:val="000000"/>
              </w:rPr>
              <w:t>0</w:t>
            </w:r>
          </w:p>
        </w:tc>
        <w:tc>
          <w:tcPr>
            <w:tcW w:w="2649" w:type="dxa"/>
            <w:vAlign w:val="bottom"/>
          </w:tcPr>
          <w:p w:rsidR="0011119D" w:rsidRDefault="00614B27">
            <w:pPr>
              <w:spacing w:beforeAutospacing="1" w:afterAutospacing="1"/>
              <w:jc w:val="right"/>
            </w:pPr>
            <w:r>
              <w:rPr>
                <w:color w:val="000000"/>
              </w:rPr>
              <w:t>0</w:t>
            </w:r>
          </w:p>
        </w:tc>
      </w:tr>
      <w:tr w:rsidR="0011119D">
        <w:trPr>
          <w:cantSplit/>
        </w:trPr>
        <w:tc>
          <w:tcPr>
            <w:tcW w:w="4293" w:type="dxa"/>
            <w:vAlign w:val="bottom"/>
          </w:tcPr>
          <w:p w:rsidR="0011119D" w:rsidRDefault="00614B27">
            <w:pPr>
              <w:spacing w:beforeAutospacing="1" w:afterAutospacing="1"/>
            </w:pPr>
            <w:r>
              <w:rPr>
                <w:color w:val="000000"/>
              </w:rPr>
              <w:t>Number of Non-Homeless households to be provided affordable housing units</w:t>
            </w:r>
          </w:p>
        </w:tc>
        <w:tc>
          <w:tcPr>
            <w:tcW w:w="2648" w:type="dxa"/>
            <w:vAlign w:val="bottom"/>
          </w:tcPr>
          <w:p w:rsidR="0011119D" w:rsidRDefault="00614B27">
            <w:pPr>
              <w:spacing w:beforeAutospacing="1" w:afterAutospacing="1"/>
              <w:jc w:val="right"/>
            </w:pPr>
            <w:r>
              <w:rPr>
                <w:color w:val="000000"/>
              </w:rPr>
              <w:t>83</w:t>
            </w:r>
          </w:p>
        </w:tc>
        <w:tc>
          <w:tcPr>
            <w:tcW w:w="2649" w:type="dxa"/>
            <w:vAlign w:val="bottom"/>
          </w:tcPr>
          <w:p w:rsidR="0011119D" w:rsidRDefault="00CE25A8">
            <w:pPr>
              <w:spacing w:beforeAutospacing="1" w:afterAutospacing="1"/>
              <w:jc w:val="right"/>
            </w:pPr>
            <w:r>
              <w:rPr>
                <w:color w:val="000000"/>
              </w:rPr>
              <w:t>114</w:t>
            </w:r>
          </w:p>
        </w:tc>
      </w:tr>
      <w:tr w:rsidR="0011119D">
        <w:trPr>
          <w:cantSplit/>
        </w:trPr>
        <w:tc>
          <w:tcPr>
            <w:tcW w:w="4293" w:type="dxa"/>
            <w:vAlign w:val="bottom"/>
          </w:tcPr>
          <w:p w:rsidR="0011119D" w:rsidRDefault="00614B27">
            <w:pPr>
              <w:spacing w:beforeAutospacing="1" w:afterAutospacing="1"/>
            </w:pPr>
            <w:r>
              <w:rPr>
                <w:color w:val="000000"/>
              </w:rPr>
              <w:t>Number of Special-Needs households to be provided affordable housing units</w:t>
            </w:r>
          </w:p>
        </w:tc>
        <w:tc>
          <w:tcPr>
            <w:tcW w:w="2648" w:type="dxa"/>
            <w:vAlign w:val="bottom"/>
          </w:tcPr>
          <w:p w:rsidR="0011119D" w:rsidRDefault="00614B27">
            <w:pPr>
              <w:spacing w:beforeAutospacing="1" w:afterAutospacing="1"/>
              <w:jc w:val="right"/>
            </w:pPr>
            <w:r>
              <w:rPr>
                <w:color w:val="000000"/>
              </w:rPr>
              <w:t>0</w:t>
            </w:r>
          </w:p>
        </w:tc>
        <w:tc>
          <w:tcPr>
            <w:tcW w:w="2649" w:type="dxa"/>
            <w:vAlign w:val="bottom"/>
          </w:tcPr>
          <w:p w:rsidR="0011119D" w:rsidRDefault="00614B27">
            <w:pPr>
              <w:spacing w:beforeAutospacing="1" w:afterAutospacing="1"/>
              <w:jc w:val="right"/>
            </w:pPr>
            <w:r>
              <w:rPr>
                <w:color w:val="000000"/>
              </w:rPr>
              <w:t>0</w:t>
            </w:r>
          </w:p>
        </w:tc>
      </w:tr>
      <w:tr w:rsidR="0011119D">
        <w:trPr>
          <w:cantSplit/>
        </w:trPr>
        <w:tc>
          <w:tcPr>
            <w:tcW w:w="4293" w:type="dxa"/>
          </w:tcPr>
          <w:p w:rsidR="0011119D" w:rsidRDefault="00614B27">
            <w:pPr>
              <w:spacing w:beforeAutospacing="1" w:afterAutospacing="1"/>
            </w:pPr>
            <w:r>
              <w:rPr>
                <w:b/>
                <w:color w:val="000000"/>
              </w:rPr>
              <w:t>Total</w:t>
            </w:r>
          </w:p>
        </w:tc>
        <w:tc>
          <w:tcPr>
            <w:tcW w:w="2648" w:type="dxa"/>
            <w:vAlign w:val="bottom"/>
          </w:tcPr>
          <w:p w:rsidR="0011119D" w:rsidRDefault="00614B27">
            <w:pPr>
              <w:spacing w:beforeAutospacing="1" w:afterAutospacing="1"/>
              <w:jc w:val="right"/>
            </w:pPr>
            <w:r>
              <w:rPr>
                <w:b/>
                <w:color w:val="000000"/>
              </w:rPr>
              <w:t>83</w:t>
            </w:r>
          </w:p>
        </w:tc>
        <w:tc>
          <w:tcPr>
            <w:tcW w:w="2649" w:type="dxa"/>
            <w:vAlign w:val="bottom"/>
          </w:tcPr>
          <w:p w:rsidR="0011119D" w:rsidRDefault="00CE25A8">
            <w:pPr>
              <w:spacing w:beforeAutospacing="1" w:afterAutospacing="1"/>
              <w:jc w:val="right"/>
            </w:pPr>
            <w:r>
              <w:rPr>
                <w:b/>
                <w:color w:val="000000"/>
              </w:rPr>
              <w:t>114</w:t>
            </w:r>
          </w:p>
        </w:tc>
      </w:tr>
    </w:tbl>
    <w:p w:rsidR="0011119D" w:rsidRDefault="00614B2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64314">
        <w:rPr>
          <w:rFonts w:asciiTheme="minorHAnsi" w:hAnsiTheme="minorHAnsi"/>
          <w:noProof/>
        </w:rPr>
        <w:t>5</w:t>
      </w:r>
      <w:r>
        <w:rPr>
          <w:rFonts w:asciiTheme="minorHAnsi" w:hAnsiTheme="minorHAnsi"/>
        </w:rPr>
        <w:fldChar w:fldCharType="end"/>
      </w:r>
      <w:r>
        <w:rPr>
          <w:rFonts w:asciiTheme="minorHAnsi" w:hAnsiTheme="minorHAnsi"/>
        </w:rPr>
        <w:t xml:space="preserve"> – Number of Households</w:t>
      </w:r>
    </w:p>
    <w:p w:rsidR="0011119D" w:rsidRDefault="0011119D"/>
    <w:p w:rsidR="0011119D" w:rsidRDefault="0011119D"/>
    <w:p w:rsidR="0011119D" w:rsidRDefault="0011119D">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83"/>
        <w:gridCol w:w="2583"/>
        <w:gridCol w:w="2584"/>
      </w:tblGrid>
      <w:tr w:rsidR="0011119D">
        <w:trPr>
          <w:cantSplit/>
          <w:tblHeader/>
        </w:trPr>
        <w:tc>
          <w:tcPr>
            <w:tcW w:w="4293" w:type="dxa"/>
          </w:tcPr>
          <w:p w:rsidR="0011119D" w:rsidRDefault="0011119D">
            <w:pPr>
              <w:pStyle w:val="Caption"/>
              <w:keepNext/>
              <w:widowControl w:val="0"/>
              <w:jc w:val="center"/>
              <w:rPr>
                <w:rFonts w:ascii="Calibri" w:hAnsi="Calibri"/>
                <w:sz w:val="22"/>
                <w:szCs w:val="22"/>
              </w:rPr>
            </w:pPr>
          </w:p>
        </w:tc>
        <w:tc>
          <w:tcPr>
            <w:tcW w:w="2648" w:type="dxa"/>
          </w:tcPr>
          <w:p w:rsidR="0011119D" w:rsidRDefault="00614B27">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11119D" w:rsidRDefault="00614B27">
            <w:pPr>
              <w:pStyle w:val="Caption"/>
              <w:keepNext/>
              <w:widowControl w:val="0"/>
              <w:jc w:val="center"/>
              <w:rPr>
                <w:rFonts w:ascii="Calibri" w:hAnsi="Calibri"/>
                <w:sz w:val="22"/>
                <w:szCs w:val="22"/>
              </w:rPr>
            </w:pPr>
            <w:r>
              <w:rPr>
                <w:rFonts w:ascii="Calibri" w:hAnsi="Calibri"/>
                <w:sz w:val="22"/>
                <w:szCs w:val="22"/>
              </w:rPr>
              <w:t>Actual</w:t>
            </w:r>
          </w:p>
        </w:tc>
      </w:tr>
      <w:tr w:rsidR="0011119D">
        <w:trPr>
          <w:cantSplit/>
        </w:trPr>
        <w:tc>
          <w:tcPr>
            <w:tcW w:w="4293" w:type="dxa"/>
            <w:vAlign w:val="bottom"/>
          </w:tcPr>
          <w:p w:rsidR="0011119D" w:rsidRDefault="00614B27">
            <w:pPr>
              <w:spacing w:beforeAutospacing="1" w:afterAutospacing="1"/>
            </w:pPr>
            <w:r>
              <w:rPr>
                <w:color w:val="000000"/>
              </w:rPr>
              <w:t>Number of households supported through Rental Assistance</w:t>
            </w:r>
          </w:p>
        </w:tc>
        <w:tc>
          <w:tcPr>
            <w:tcW w:w="2648" w:type="dxa"/>
            <w:vAlign w:val="bottom"/>
          </w:tcPr>
          <w:p w:rsidR="0011119D" w:rsidRDefault="00614B27">
            <w:pPr>
              <w:spacing w:beforeAutospacing="1" w:afterAutospacing="1"/>
              <w:jc w:val="right"/>
            </w:pPr>
            <w:r>
              <w:rPr>
                <w:color w:val="000000"/>
              </w:rPr>
              <w:t>82</w:t>
            </w:r>
          </w:p>
        </w:tc>
        <w:tc>
          <w:tcPr>
            <w:tcW w:w="2649" w:type="dxa"/>
            <w:vAlign w:val="bottom"/>
          </w:tcPr>
          <w:p w:rsidR="0011119D" w:rsidRDefault="00CE25A8">
            <w:pPr>
              <w:spacing w:beforeAutospacing="1" w:afterAutospacing="1"/>
              <w:jc w:val="right"/>
            </w:pPr>
            <w:r>
              <w:rPr>
                <w:color w:val="000000"/>
              </w:rPr>
              <w:t>53</w:t>
            </w:r>
          </w:p>
        </w:tc>
      </w:tr>
      <w:tr w:rsidR="0011119D">
        <w:trPr>
          <w:cantSplit/>
        </w:trPr>
        <w:tc>
          <w:tcPr>
            <w:tcW w:w="4293" w:type="dxa"/>
            <w:vAlign w:val="bottom"/>
          </w:tcPr>
          <w:p w:rsidR="0011119D" w:rsidRDefault="00614B27">
            <w:pPr>
              <w:spacing w:beforeAutospacing="1" w:afterAutospacing="1"/>
            </w:pPr>
            <w:r>
              <w:rPr>
                <w:color w:val="000000"/>
              </w:rPr>
              <w:t>Number of households supported through The Production of New Units</w:t>
            </w:r>
          </w:p>
        </w:tc>
        <w:tc>
          <w:tcPr>
            <w:tcW w:w="2648" w:type="dxa"/>
            <w:vAlign w:val="bottom"/>
          </w:tcPr>
          <w:p w:rsidR="0011119D" w:rsidRDefault="00614B27">
            <w:pPr>
              <w:spacing w:beforeAutospacing="1" w:afterAutospacing="1"/>
              <w:jc w:val="right"/>
            </w:pPr>
            <w:r>
              <w:rPr>
                <w:color w:val="000000"/>
              </w:rPr>
              <w:t>0</w:t>
            </w:r>
          </w:p>
        </w:tc>
        <w:tc>
          <w:tcPr>
            <w:tcW w:w="2649" w:type="dxa"/>
            <w:vAlign w:val="bottom"/>
          </w:tcPr>
          <w:p w:rsidR="0011119D" w:rsidRDefault="00614B27">
            <w:pPr>
              <w:spacing w:beforeAutospacing="1" w:afterAutospacing="1"/>
              <w:jc w:val="right"/>
            </w:pPr>
            <w:r>
              <w:rPr>
                <w:color w:val="000000"/>
              </w:rPr>
              <w:t>0</w:t>
            </w:r>
          </w:p>
        </w:tc>
      </w:tr>
      <w:tr w:rsidR="0011119D">
        <w:trPr>
          <w:cantSplit/>
        </w:trPr>
        <w:tc>
          <w:tcPr>
            <w:tcW w:w="4293" w:type="dxa"/>
            <w:vAlign w:val="bottom"/>
          </w:tcPr>
          <w:p w:rsidR="0011119D" w:rsidRDefault="00614B27">
            <w:pPr>
              <w:spacing w:beforeAutospacing="1" w:afterAutospacing="1"/>
            </w:pPr>
            <w:r>
              <w:rPr>
                <w:color w:val="000000"/>
              </w:rPr>
              <w:t>Number of households supported through Rehab of Existing Units</w:t>
            </w:r>
          </w:p>
        </w:tc>
        <w:tc>
          <w:tcPr>
            <w:tcW w:w="2648" w:type="dxa"/>
            <w:vAlign w:val="bottom"/>
          </w:tcPr>
          <w:p w:rsidR="0011119D" w:rsidRDefault="00614B27">
            <w:pPr>
              <w:spacing w:beforeAutospacing="1" w:afterAutospacing="1"/>
              <w:jc w:val="right"/>
            </w:pPr>
            <w:r>
              <w:rPr>
                <w:color w:val="000000"/>
              </w:rPr>
              <w:t>0</w:t>
            </w:r>
          </w:p>
        </w:tc>
        <w:tc>
          <w:tcPr>
            <w:tcW w:w="2649" w:type="dxa"/>
            <w:vAlign w:val="bottom"/>
          </w:tcPr>
          <w:p w:rsidR="0011119D" w:rsidRDefault="00CD4960">
            <w:pPr>
              <w:spacing w:beforeAutospacing="1" w:afterAutospacing="1"/>
              <w:jc w:val="right"/>
            </w:pPr>
            <w:r>
              <w:rPr>
                <w:color w:val="000000"/>
              </w:rPr>
              <w:t>9</w:t>
            </w:r>
          </w:p>
        </w:tc>
      </w:tr>
      <w:tr w:rsidR="0011119D">
        <w:trPr>
          <w:cantSplit/>
        </w:trPr>
        <w:tc>
          <w:tcPr>
            <w:tcW w:w="4293" w:type="dxa"/>
            <w:vAlign w:val="bottom"/>
          </w:tcPr>
          <w:p w:rsidR="0011119D" w:rsidRDefault="00614B27">
            <w:pPr>
              <w:spacing w:beforeAutospacing="1" w:afterAutospacing="1"/>
            </w:pPr>
            <w:r>
              <w:rPr>
                <w:color w:val="000000"/>
              </w:rPr>
              <w:t>Number of households supported through Acquisition of Existing Units</w:t>
            </w:r>
          </w:p>
        </w:tc>
        <w:tc>
          <w:tcPr>
            <w:tcW w:w="2648" w:type="dxa"/>
            <w:vAlign w:val="bottom"/>
          </w:tcPr>
          <w:p w:rsidR="0011119D" w:rsidRDefault="00614B27">
            <w:pPr>
              <w:spacing w:beforeAutospacing="1" w:afterAutospacing="1"/>
              <w:jc w:val="right"/>
            </w:pPr>
            <w:r>
              <w:rPr>
                <w:color w:val="000000"/>
              </w:rPr>
              <w:t>0</w:t>
            </w:r>
          </w:p>
        </w:tc>
        <w:tc>
          <w:tcPr>
            <w:tcW w:w="2649" w:type="dxa"/>
            <w:vAlign w:val="bottom"/>
          </w:tcPr>
          <w:p w:rsidR="0011119D" w:rsidRDefault="00614B27">
            <w:pPr>
              <w:spacing w:beforeAutospacing="1" w:afterAutospacing="1"/>
              <w:jc w:val="right"/>
            </w:pPr>
            <w:r>
              <w:rPr>
                <w:color w:val="000000"/>
              </w:rPr>
              <w:t>0</w:t>
            </w:r>
          </w:p>
        </w:tc>
      </w:tr>
      <w:tr w:rsidR="0011119D">
        <w:trPr>
          <w:cantSplit/>
        </w:trPr>
        <w:tc>
          <w:tcPr>
            <w:tcW w:w="4293" w:type="dxa"/>
          </w:tcPr>
          <w:p w:rsidR="0011119D" w:rsidRDefault="00614B27">
            <w:pPr>
              <w:spacing w:beforeAutospacing="1" w:afterAutospacing="1"/>
            </w:pPr>
            <w:r>
              <w:rPr>
                <w:b/>
                <w:color w:val="000000"/>
              </w:rPr>
              <w:t>Total</w:t>
            </w:r>
          </w:p>
        </w:tc>
        <w:tc>
          <w:tcPr>
            <w:tcW w:w="2648" w:type="dxa"/>
            <w:vAlign w:val="bottom"/>
          </w:tcPr>
          <w:p w:rsidR="0011119D" w:rsidRDefault="00614B27">
            <w:pPr>
              <w:spacing w:beforeAutospacing="1" w:afterAutospacing="1"/>
              <w:jc w:val="right"/>
            </w:pPr>
            <w:r>
              <w:rPr>
                <w:b/>
                <w:color w:val="000000"/>
              </w:rPr>
              <w:t>82</w:t>
            </w:r>
          </w:p>
        </w:tc>
        <w:tc>
          <w:tcPr>
            <w:tcW w:w="2649" w:type="dxa"/>
            <w:vAlign w:val="bottom"/>
          </w:tcPr>
          <w:p w:rsidR="0011119D" w:rsidRDefault="00CD4960">
            <w:pPr>
              <w:spacing w:beforeAutospacing="1" w:afterAutospacing="1"/>
              <w:jc w:val="right"/>
            </w:pPr>
            <w:r>
              <w:rPr>
                <w:b/>
                <w:color w:val="000000"/>
              </w:rPr>
              <w:t>62</w:t>
            </w:r>
          </w:p>
        </w:tc>
      </w:tr>
    </w:tbl>
    <w:p w:rsidR="0011119D" w:rsidRDefault="00614B2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64314">
        <w:rPr>
          <w:rFonts w:asciiTheme="minorHAnsi" w:hAnsiTheme="minorHAnsi"/>
          <w:noProof/>
        </w:rPr>
        <w:t>6</w:t>
      </w:r>
      <w:r>
        <w:rPr>
          <w:rFonts w:asciiTheme="minorHAnsi" w:hAnsiTheme="minorHAnsi"/>
        </w:rPr>
        <w:fldChar w:fldCharType="end"/>
      </w:r>
      <w:r>
        <w:rPr>
          <w:rFonts w:asciiTheme="minorHAnsi" w:hAnsiTheme="minorHAnsi"/>
        </w:rPr>
        <w:t xml:space="preserve"> – Number of Households Supported</w:t>
      </w:r>
    </w:p>
    <w:p w:rsidR="0011119D" w:rsidRDefault="0011119D">
      <w:pPr>
        <w:rPr>
          <w:rFonts w:cs="Arial"/>
        </w:rPr>
      </w:pPr>
    </w:p>
    <w:p w:rsidR="0011119D" w:rsidRDefault="0011119D">
      <w:pPr>
        <w:rPr>
          <w:rFonts w:cs="Arial"/>
        </w:rPr>
      </w:pPr>
    </w:p>
    <w:p w:rsidR="0011119D" w:rsidRDefault="00614B27">
      <w:pPr>
        <w:widowControl w:val="0"/>
        <w:spacing w:line="204" w:lineRule="auto"/>
        <w:rPr>
          <w:b/>
          <w:sz w:val="24"/>
          <w:szCs w:val="24"/>
        </w:rPr>
      </w:pPr>
      <w:r>
        <w:rPr>
          <w:b/>
          <w:sz w:val="24"/>
          <w:szCs w:val="24"/>
        </w:rPr>
        <w:t>Discuss the difference between goals and outcomes and problems encountered in meeting these goals.</w:t>
      </w:r>
    </w:p>
    <w:p w:rsidR="00CE25A8" w:rsidRDefault="00CE25A8" w:rsidP="00CE25A8">
      <w:pPr>
        <w:spacing w:beforeAutospacing="1" w:afterAutospacing="1"/>
        <w:rPr>
          <w:rFonts w:cs="Arial"/>
        </w:rPr>
      </w:pPr>
      <w:r w:rsidRPr="00CE25A8">
        <w:rPr>
          <w:rFonts w:cs="Arial"/>
        </w:rPr>
        <w:t>The City of Bowling Green supports affordable housing through partnerships with area agencies.  During Year 1</w:t>
      </w:r>
      <w:r>
        <w:rPr>
          <w:rFonts w:cs="Arial"/>
        </w:rPr>
        <w:t>3</w:t>
      </w:r>
      <w:r w:rsidRPr="00CE25A8">
        <w:rPr>
          <w:rFonts w:cs="Arial"/>
        </w:rPr>
        <w:t>, the City partnered with the Bowling Green-Warren County Welfare Center for a rental and utility assistance program that provides one time payments to LMI families in an amount of $150.  Year 1</w:t>
      </w:r>
      <w:r>
        <w:rPr>
          <w:rFonts w:cs="Arial"/>
        </w:rPr>
        <w:t>3</w:t>
      </w:r>
      <w:r w:rsidRPr="00CE25A8">
        <w:rPr>
          <w:rFonts w:cs="Arial"/>
        </w:rPr>
        <w:t>’s goals were to</w:t>
      </w:r>
      <w:r>
        <w:rPr>
          <w:rFonts w:cs="Arial"/>
        </w:rPr>
        <w:t xml:space="preserve"> provide rental assistance to 83</w:t>
      </w:r>
      <w:r w:rsidRPr="00CE25A8">
        <w:rPr>
          <w:rFonts w:cs="Arial"/>
        </w:rPr>
        <w:t xml:space="preserve"> families, and utility assistance to 8</w:t>
      </w:r>
      <w:r>
        <w:rPr>
          <w:rFonts w:cs="Arial"/>
        </w:rPr>
        <w:t>2</w:t>
      </w:r>
      <w:r w:rsidRPr="00CE25A8">
        <w:rPr>
          <w:rFonts w:cs="Arial"/>
        </w:rPr>
        <w:t xml:space="preserve"> families.  The outcome of </w:t>
      </w:r>
      <w:r>
        <w:rPr>
          <w:rFonts w:cs="Arial"/>
        </w:rPr>
        <w:t>53</w:t>
      </w:r>
      <w:r w:rsidRPr="00CE25A8">
        <w:rPr>
          <w:rFonts w:cs="Arial"/>
        </w:rPr>
        <w:t xml:space="preserve"> families receiving rental assistance and </w:t>
      </w:r>
      <w:r>
        <w:rPr>
          <w:rFonts w:cs="Arial"/>
        </w:rPr>
        <w:t xml:space="preserve">114 </w:t>
      </w:r>
      <w:r w:rsidRPr="00CE25A8">
        <w:rPr>
          <w:rFonts w:cs="Arial"/>
        </w:rPr>
        <w:t>receiving utility assistance shows that there was a much greater need for utility assistance than rental assistance during Year 1</w:t>
      </w:r>
      <w:r>
        <w:rPr>
          <w:rFonts w:cs="Arial"/>
        </w:rPr>
        <w:t>3</w:t>
      </w:r>
      <w:r w:rsidRPr="00CE25A8">
        <w:rPr>
          <w:rFonts w:cs="Arial"/>
        </w:rPr>
        <w:t>.</w:t>
      </w:r>
    </w:p>
    <w:p w:rsidR="00CE25A8" w:rsidRPr="00CD4960" w:rsidRDefault="00CD4960">
      <w:pPr>
        <w:widowControl w:val="0"/>
        <w:spacing w:line="204" w:lineRule="auto"/>
      </w:pPr>
      <w:r w:rsidRPr="00CD4960">
        <w:t xml:space="preserve">Additionally the City initiated a Private Property Improvements Program to remove blighting influences and improve curb appeal.  During Year 13, </w:t>
      </w:r>
      <w:r>
        <w:t xml:space="preserve">nine (9) properties were assisted under the program resulting in increased affordability for improved suitable living </w:t>
      </w:r>
      <w:proofErr w:type="spellStart"/>
      <w:r>
        <w:t>enviroments</w:t>
      </w:r>
      <w:proofErr w:type="spellEnd"/>
      <w:r>
        <w:t>.</w:t>
      </w:r>
    </w:p>
    <w:p w:rsidR="0011119D" w:rsidRDefault="00614B27">
      <w:pPr>
        <w:widowControl w:val="0"/>
        <w:spacing w:line="204" w:lineRule="auto"/>
        <w:rPr>
          <w:b/>
          <w:sz w:val="24"/>
          <w:szCs w:val="24"/>
        </w:rPr>
      </w:pPr>
      <w:r>
        <w:rPr>
          <w:b/>
          <w:sz w:val="24"/>
          <w:szCs w:val="24"/>
        </w:rPr>
        <w:t>Discuss how these outcomes will impact future annual action plans.</w:t>
      </w:r>
    </w:p>
    <w:p w:rsidR="00CE25A8" w:rsidRPr="00CE25A8" w:rsidRDefault="00CE25A8" w:rsidP="00CE25A8">
      <w:pPr>
        <w:spacing w:beforeAutospacing="1" w:afterAutospacing="1"/>
        <w:rPr>
          <w:rFonts w:cs="Arial"/>
        </w:rPr>
      </w:pPr>
      <w:r w:rsidRPr="00CE25A8">
        <w:rPr>
          <w:rFonts w:cs="Arial"/>
        </w:rPr>
        <w:t xml:space="preserve">The outcomes demonstrate the increased need for affordable housing.  In </w:t>
      </w:r>
      <w:r>
        <w:rPr>
          <w:rFonts w:cs="Arial"/>
        </w:rPr>
        <w:t>the Year 14 (Program Year 2017) Annual Action Plan</w:t>
      </w:r>
      <w:r w:rsidRPr="00CE25A8">
        <w:rPr>
          <w:rFonts w:cs="Arial"/>
        </w:rPr>
        <w:t xml:space="preserve">, the City </w:t>
      </w:r>
      <w:r>
        <w:rPr>
          <w:rFonts w:cs="Arial"/>
        </w:rPr>
        <w:t>allocated additional funding</w:t>
      </w:r>
      <w:r w:rsidRPr="00CE25A8">
        <w:rPr>
          <w:rFonts w:cs="Arial"/>
        </w:rPr>
        <w:t xml:space="preserve"> to provide </w:t>
      </w:r>
      <w:r w:rsidR="00042E74">
        <w:rPr>
          <w:rFonts w:cs="Arial"/>
        </w:rPr>
        <w:t>more</w:t>
      </w:r>
      <w:r w:rsidRPr="00CE25A8">
        <w:rPr>
          <w:rFonts w:cs="Arial"/>
        </w:rPr>
        <w:t xml:space="preserve"> affordable housing </w:t>
      </w:r>
      <w:r w:rsidR="00042E74">
        <w:rPr>
          <w:rFonts w:cs="Arial"/>
        </w:rPr>
        <w:t>opportunities.</w:t>
      </w:r>
    </w:p>
    <w:p w:rsidR="0011119D" w:rsidRDefault="00614B27">
      <w:pPr>
        <w:keepNext/>
        <w:widowControl w:val="0"/>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rsidR="0011119D" w:rsidRDefault="0011119D">
      <w:pPr>
        <w:widowControl w:val="0"/>
        <w:spacing w:line="204" w:lineRule="auto"/>
        <w:rPr>
          <w:b/>
          <w:vanish/>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890"/>
        <w:gridCol w:w="25"/>
      </w:tblGrid>
      <w:tr w:rsidR="0011119D">
        <w:trPr>
          <w:cantSplit/>
        </w:trPr>
        <w:tc>
          <w:tcPr>
            <w:tcW w:w="4081" w:type="dxa"/>
          </w:tcPr>
          <w:p w:rsidR="0011119D" w:rsidRDefault="00614B27">
            <w:pPr>
              <w:keepNext/>
              <w:widowControl w:val="0"/>
              <w:spacing w:after="0" w:line="240" w:lineRule="auto"/>
              <w:jc w:val="center"/>
              <w:rPr>
                <w:b/>
              </w:rPr>
            </w:pPr>
            <w:r>
              <w:rPr>
                <w:b/>
              </w:rPr>
              <w:t>Number  of Households Served</w:t>
            </w:r>
          </w:p>
        </w:tc>
        <w:tc>
          <w:tcPr>
            <w:tcW w:w="1859" w:type="dxa"/>
          </w:tcPr>
          <w:p w:rsidR="0011119D" w:rsidRDefault="00614B27">
            <w:pPr>
              <w:keepNext/>
              <w:widowControl w:val="0"/>
              <w:spacing w:after="0" w:line="240" w:lineRule="auto"/>
              <w:jc w:val="center"/>
              <w:rPr>
                <w:b/>
              </w:rPr>
            </w:pPr>
            <w:r>
              <w:rPr>
                <w:b/>
              </w:rPr>
              <w:t>CDBG Actual</w:t>
            </w:r>
          </w:p>
        </w:tc>
        <w:tc>
          <w:tcPr>
            <w:tcW w:w="1915" w:type="dxa"/>
            <w:gridSpan w:val="2"/>
          </w:tcPr>
          <w:p w:rsidR="0011119D" w:rsidRDefault="00614B27">
            <w:pPr>
              <w:keepNext/>
              <w:widowControl w:val="0"/>
              <w:spacing w:after="0" w:line="240" w:lineRule="auto"/>
              <w:jc w:val="center"/>
              <w:rPr>
                <w:b/>
              </w:rPr>
            </w:pPr>
            <w:r>
              <w:rPr>
                <w:b/>
              </w:rPr>
              <w:t>HOME Actual</w:t>
            </w:r>
          </w:p>
        </w:tc>
      </w:tr>
      <w:tr w:rsidR="0011119D">
        <w:trPr>
          <w:gridAfter w:val="1"/>
          <w:wAfter w:w="25" w:type="dxa"/>
          <w:cantSplit/>
        </w:trPr>
        <w:tc>
          <w:tcPr>
            <w:tcW w:w="4081" w:type="dxa"/>
            <w:vAlign w:val="bottom"/>
          </w:tcPr>
          <w:p w:rsidR="0011119D" w:rsidRDefault="00614B27">
            <w:pPr>
              <w:spacing w:beforeAutospacing="1" w:afterAutospacing="1"/>
            </w:pPr>
            <w:r>
              <w:rPr>
                <w:color w:val="000000"/>
              </w:rPr>
              <w:t>Extremely Low-income</w:t>
            </w:r>
          </w:p>
        </w:tc>
        <w:tc>
          <w:tcPr>
            <w:tcW w:w="1859" w:type="dxa"/>
            <w:vAlign w:val="bottom"/>
          </w:tcPr>
          <w:p w:rsidR="0011119D" w:rsidRDefault="002C12AF">
            <w:pPr>
              <w:spacing w:beforeAutospacing="1" w:afterAutospacing="1"/>
              <w:jc w:val="right"/>
            </w:pPr>
            <w:r>
              <w:rPr>
                <w:color w:val="000000"/>
              </w:rPr>
              <w:t>169</w:t>
            </w:r>
          </w:p>
        </w:tc>
        <w:tc>
          <w:tcPr>
            <w:tcW w:w="1890" w:type="dxa"/>
            <w:vAlign w:val="bottom"/>
          </w:tcPr>
          <w:p w:rsidR="0011119D" w:rsidRDefault="00614B27">
            <w:pPr>
              <w:spacing w:beforeAutospacing="1" w:afterAutospacing="1"/>
              <w:jc w:val="right"/>
            </w:pPr>
            <w:r>
              <w:rPr>
                <w:color w:val="000000"/>
              </w:rPr>
              <w:t>0</w:t>
            </w:r>
          </w:p>
        </w:tc>
      </w:tr>
      <w:tr w:rsidR="0011119D">
        <w:trPr>
          <w:gridAfter w:val="1"/>
          <w:wAfter w:w="25" w:type="dxa"/>
          <w:cantSplit/>
        </w:trPr>
        <w:tc>
          <w:tcPr>
            <w:tcW w:w="4081" w:type="dxa"/>
            <w:vAlign w:val="bottom"/>
          </w:tcPr>
          <w:p w:rsidR="0011119D" w:rsidRDefault="00614B27">
            <w:pPr>
              <w:spacing w:beforeAutospacing="1" w:afterAutospacing="1"/>
            </w:pPr>
            <w:r>
              <w:rPr>
                <w:color w:val="000000"/>
              </w:rPr>
              <w:t>Low-income</w:t>
            </w:r>
          </w:p>
        </w:tc>
        <w:tc>
          <w:tcPr>
            <w:tcW w:w="1859" w:type="dxa"/>
            <w:vAlign w:val="bottom"/>
          </w:tcPr>
          <w:p w:rsidR="0011119D" w:rsidRDefault="00042E74">
            <w:pPr>
              <w:spacing w:beforeAutospacing="1" w:afterAutospacing="1"/>
              <w:jc w:val="right"/>
            </w:pPr>
            <w:r>
              <w:rPr>
                <w:color w:val="000000"/>
              </w:rPr>
              <w:t>82</w:t>
            </w:r>
          </w:p>
        </w:tc>
        <w:tc>
          <w:tcPr>
            <w:tcW w:w="1890" w:type="dxa"/>
            <w:vAlign w:val="bottom"/>
          </w:tcPr>
          <w:p w:rsidR="0011119D" w:rsidRDefault="00614B27">
            <w:pPr>
              <w:spacing w:beforeAutospacing="1" w:afterAutospacing="1"/>
              <w:jc w:val="right"/>
            </w:pPr>
            <w:r>
              <w:rPr>
                <w:color w:val="000000"/>
              </w:rPr>
              <w:t>0</w:t>
            </w:r>
          </w:p>
        </w:tc>
      </w:tr>
      <w:tr w:rsidR="0011119D">
        <w:trPr>
          <w:gridAfter w:val="1"/>
          <w:wAfter w:w="25" w:type="dxa"/>
          <w:cantSplit/>
        </w:trPr>
        <w:tc>
          <w:tcPr>
            <w:tcW w:w="4081" w:type="dxa"/>
            <w:vAlign w:val="bottom"/>
          </w:tcPr>
          <w:p w:rsidR="0011119D" w:rsidRDefault="00614B27">
            <w:pPr>
              <w:spacing w:beforeAutospacing="1" w:afterAutospacing="1"/>
            </w:pPr>
            <w:r>
              <w:rPr>
                <w:color w:val="000000"/>
              </w:rPr>
              <w:t>Moderate-income</w:t>
            </w:r>
          </w:p>
        </w:tc>
        <w:tc>
          <w:tcPr>
            <w:tcW w:w="1859" w:type="dxa"/>
            <w:vAlign w:val="bottom"/>
          </w:tcPr>
          <w:p w:rsidR="0011119D" w:rsidRDefault="002C12AF">
            <w:pPr>
              <w:spacing w:beforeAutospacing="1" w:afterAutospacing="1"/>
              <w:jc w:val="right"/>
            </w:pPr>
            <w:r>
              <w:rPr>
                <w:color w:val="000000"/>
              </w:rPr>
              <w:t>19</w:t>
            </w:r>
          </w:p>
        </w:tc>
        <w:tc>
          <w:tcPr>
            <w:tcW w:w="1890" w:type="dxa"/>
            <w:vAlign w:val="bottom"/>
          </w:tcPr>
          <w:p w:rsidR="0011119D" w:rsidRDefault="00614B27">
            <w:pPr>
              <w:spacing w:beforeAutospacing="1" w:afterAutospacing="1"/>
              <w:jc w:val="right"/>
            </w:pPr>
            <w:r>
              <w:rPr>
                <w:color w:val="000000"/>
              </w:rPr>
              <w:t>0</w:t>
            </w:r>
          </w:p>
        </w:tc>
      </w:tr>
      <w:tr w:rsidR="0011119D">
        <w:trPr>
          <w:gridAfter w:val="1"/>
          <w:wAfter w:w="25" w:type="dxa"/>
          <w:cantSplit/>
        </w:trPr>
        <w:tc>
          <w:tcPr>
            <w:tcW w:w="4081" w:type="dxa"/>
            <w:vAlign w:val="bottom"/>
          </w:tcPr>
          <w:p w:rsidR="0011119D" w:rsidRDefault="00614B27">
            <w:pPr>
              <w:spacing w:beforeAutospacing="1" w:afterAutospacing="1"/>
            </w:pPr>
            <w:r>
              <w:rPr>
                <w:b/>
                <w:color w:val="000000"/>
              </w:rPr>
              <w:t>Total</w:t>
            </w:r>
          </w:p>
        </w:tc>
        <w:tc>
          <w:tcPr>
            <w:tcW w:w="1859" w:type="dxa"/>
            <w:vAlign w:val="bottom"/>
          </w:tcPr>
          <w:p w:rsidR="0011119D" w:rsidRDefault="002C12AF">
            <w:pPr>
              <w:spacing w:beforeAutospacing="1" w:afterAutospacing="1"/>
              <w:jc w:val="right"/>
            </w:pPr>
            <w:r>
              <w:rPr>
                <w:b/>
                <w:color w:val="000000"/>
              </w:rPr>
              <w:t>270</w:t>
            </w:r>
          </w:p>
        </w:tc>
        <w:tc>
          <w:tcPr>
            <w:tcW w:w="1890" w:type="dxa"/>
            <w:vAlign w:val="bottom"/>
          </w:tcPr>
          <w:p w:rsidR="0011119D" w:rsidRDefault="00614B27">
            <w:pPr>
              <w:spacing w:beforeAutospacing="1" w:afterAutospacing="1"/>
              <w:jc w:val="right"/>
            </w:pPr>
            <w:r>
              <w:rPr>
                <w:b/>
                <w:color w:val="000000"/>
              </w:rPr>
              <w:t>0</w:t>
            </w:r>
          </w:p>
        </w:tc>
      </w:tr>
    </w:tbl>
    <w:p w:rsidR="0011119D" w:rsidRDefault="00614B2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sidR="00664314">
        <w:rPr>
          <w:rFonts w:asciiTheme="minorHAnsi" w:hAnsiTheme="minorHAnsi"/>
          <w:noProof/>
        </w:rPr>
        <w:t>7</w:t>
      </w:r>
      <w:r>
        <w:rPr>
          <w:rFonts w:asciiTheme="minorHAnsi" w:hAnsiTheme="minorHAnsi"/>
        </w:rPr>
        <w:fldChar w:fldCharType="end"/>
      </w:r>
      <w:r>
        <w:rPr>
          <w:rFonts w:asciiTheme="minorHAnsi" w:hAnsiTheme="minorHAnsi"/>
        </w:rPr>
        <w:t xml:space="preserve"> – Number of Households Served</w:t>
      </w:r>
    </w:p>
    <w:p w:rsidR="0011119D" w:rsidRDefault="0011119D">
      <w:pPr>
        <w:widowControl w:val="0"/>
        <w:spacing w:line="204" w:lineRule="auto"/>
        <w:rPr>
          <w:b/>
          <w:sz w:val="24"/>
          <w:szCs w:val="24"/>
        </w:rPr>
      </w:pPr>
    </w:p>
    <w:p w:rsidR="0011119D" w:rsidRDefault="0011119D">
      <w:pPr>
        <w:widowControl w:val="0"/>
        <w:spacing w:line="204" w:lineRule="auto"/>
        <w:rPr>
          <w:b/>
          <w:sz w:val="24"/>
          <w:szCs w:val="24"/>
        </w:rPr>
      </w:pPr>
    </w:p>
    <w:p w:rsidR="0011119D" w:rsidRDefault="00614B27">
      <w:pPr>
        <w:widowControl w:val="0"/>
        <w:spacing w:line="204" w:lineRule="auto"/>
        <w:rPr>
          <w:b/>
          <w:sz w:val="24"/>
          <w:szCs w:val="24"/>
        </w:rPr>
      </w:pPr>
      <w:r>
        <w:rPr>
          <w:b/>
          <w:sz w:val="24"/>
          <w:szCs w:val="24"/>
        </w:rPr>
        <w:t>Narrative Information</w:t>
      </w:r>
    </w:p>
    <w:p w:rsidR="00042E74" w:rsidRPr="00701E9B" w:rsidRDefault="00042E74" w:rsidP="00042E74">
      <w:pPr>
        <w:spacing w:after="0" w:line="240" w:lineRule="auto"/>
        <w:rPr>
          <w:rFonts w:eastAsia="Times New Roman" w:cs="Arial"/>
        </w:rPr>
      </w:pPr>
      <w:r w:rsidRPr="00701E9B">
        <w:rPr>
          <w:rFonts w:eastAsia="Times New Roman" w:cs="Arial"/>
        </w:rPr>
        <w:t>The number of Extremely Low-Income pers</w:t>
      </w:r>
      <w:r>
        <w:rPr>
          <w:rFonts w:eastAsia="Times New Roman" w:cs="Arial"/>
        </w:rPr>
        <w:t>ons represents 63</w:t>
      </w:r>
      <w:r w:rsidRPr="00701E9B">
        <w:rPr>
          <w:rFonts w:eastAsia="Times New Roman" w:cs="Arial"/>
        </w:rPr>
        <w:t>% of the total</w:t>
      </w:r>
      <w:r>
        <w:rPr>
          <w:rFonts w:eastAsia="Times New Roman" w:cs="Arial"/>
        </w:rPr>
        <w:t>, while Low-Income represents 3</w:t>
      </w:r>
      <w:r w:rsidR="00B66B7D">
        <w:rPr>
          <w:rFonts w:eastAsia="Times New Roman" w:cs="Arial"/>
        </w:rPr>
        <w:t>0</w:t>
      </w:r>
      <w:r w:rsidRPr="00701E9B">
        <w:rPr>
          <w:rFonts w:eastAsia="Times New Roman" w:cs="Arial"/>
        </w:rPr>
        <w:t>%, a</w:t>
      </w:r>
      <w:r>
        <w:rPr>
          <w:rFonts w:eastAsia="Times New Roman" w:cs="Arial"/>
        </w:rPr>
        <w:t>nd Moderate-Income represents 7</w:t>
      </w:r>
      <w:r w:rsidRPr="00701E9B">
        <w:rPr>
          <w:rFonts w:eastAsia="Times New Roman" w:cs="Arial"/>
        </w:rPr>
        <w:t xml:space="preserve">%.  </w:t>
      </w:r>
    </w:p>
    <w:p w:rsidR="0011119D" w:rsidRDefault="0011119D">
      <w:pPr>
        <w:pStyle w:val="Heading2"/>
        <w:pageBreakBefore/>
        <w:rPr>
          <w:rFonts w:ascii="Calibri" w:hAnsi="Calibri"/>
          <w:i w:val="0"/>
        </w:rPr>
        <w:sectPr w:rsidR="0011119D">
          <w:pgSz w:w="12240" w:h="15840" w:code="1"/>
          <w:pgMar w:top="1440" w:right="1440" w:bottom="1440" w:left="1440" w:header="720" w:footer="720" w:gutter="0"/>
          <w:cols w:space="720"/>
          <w:docGrid w:linePitch="360"/>
        </w:sectPr>
      </w:pPr>
    </w:p>
    <w:bookmarkEnd w:id="1"/>
    <w:p w:rsidR="0011119D" w:rsidRDefault="00614B27">
      <w:pPr>
        <w:pStyle w:val="Heading2"/>
        <w:pageBreakBefore/>
        <w:widowControl w:val="0"/>
        <w:rPr>
          <w:rFonts w:ascii="Calibri" w:hAnsi="Calibri"/>
          <w:i w:val="0"/>
        </w:rPr>
      </w:pPr>
      <w:r>
        <w:rPr>
          <w:rFonts w:ascii="Calibri" w:hAnsi="Calibri"/>
          <w:i w:val="0"/>
        </w:rPr>
        <w:t>CR-25 - Homeless and Other Special Needs 91.220(d, e); 91.320(d, e); 91.520(c)</w:t>
      </w:r>
    </w:p>
    <w:p w:rsidR="0011119D" w:rsidRDefault="00614B27">
      <w:pPr>
        <w:keepNext/>
        <w:widowControl w:val="0"/>
        <w:rPr>
          <w:b/>
          <w:sz w:val="24"/>
          <w:szCs w:val="24"/>
        </w:rPr>
      </w:pPr>
      <w:r>
        <w:rPr>
          <w:b/>
          <w:sz w:val="24"/>
          <w:szCs w:val="24"/>
        </w:rPr>
        <w:t>Evaluate the jurisdiction’s progress in meeting its specific objectives for reducing and ending homelessness through:</w:t>
      </w:r>
    </w:p>
    <w:p w:rsidR="0011119D" w:rsidRDefault="00614B27">
      <w:pPr>
        <w:widowControl w:val="0"/>
        <w:rPr>
          <w:b/>
          <w:sz w:val="24"/>
          <w:szCs w:val="24"/>
        </w:rPr>
      </w:pPr>
      <w:r>
        <w:rPr>
          <w:b/>
          <w:sz w:val="24"/>
          <w:szCs w:val="24"/>
        </w:rPr>
        <w:t>Reaching out to homeless persons (especially unsheltered persons) and assessing their individual needs</w:t>
      </w:r>
    </w:p>
    <w:p w:rsidR="00C80341" w:rsidRPr="00701E9B" w:rsidRDefault="00C80341" w:rsidP="00C80341">
      <w:pPr>
        <w:widowControl w:val="0"/>
        <w:spacing w:before="100" w:beforeAutospacing="1" w:after="100" w:afterAutospacing="1" w:line="240" w:lineRule="auto"/>
        <w:rPr>
          <w:rFonts w:eastAsia="Times New Roman" w:cs="Arial"/>
        </w:rPr>
      </w:pPr>
      <w:r w:rsidRPr="00701E9B">
        <w:rPr>
          <w:rFonts w:eastAsia="Times New Roman" w:cs="Arial"/>
        </w:rPr>
        <w:t xml:space="preserve">The City of </w:t>
      </w:r>
      <w:smartTag w:uri="urn:schemas-microsoft-com:office:smarttags" w:element="City">
        <w:smartTag w:uri="urn:schemas-microsoft-com:office:smarttags" w:element="place">
          <w:r w:rsidRPr="00701E9B">
            <w:rPr>
              <w:rFonts w:eastAsia="Times New Roman" w:cs="Arial"/>
            </w:rPr>
            <w:t>Bowling Green</w:t>
          </w:r>
        </w:smartTag>
      </w:smartTag>
      <w:r w:rsidRPr="00701E9B">
        <w:rPr>
          <w:rFonts w:eastAsia="Times New Roman" w:cs="Arial"/>
        </w:rPr>
        <w:t xml:space="preserve"> worked with its local homeless service providers to provide access and reached out to the homeless population.  Barren River Area Safe Space (BRASS) provides a shelter to victims of domestic violence and their families.  The Salvation Army provides a shelter to the homeless population and provides a food bank, clothing store and a kitchen to feed residents of the shelter. </w:t>
      </w:r>
    </w:p>
    <w:p w:rsidR="00C80341" w:rsidRPr="00701E9B" w:rsidRDefault="00C80341" w:rsidP="00C80341">
      <w:pPr>
        <w:widowControl w:val="0"/>
        <w:spacing w:before="100" w:beforeAutospacing="1" w:after="100" w:afterAutospacing="1" w:line="240" w:lineRule="auto"/>
        <w:rPr>
          <w:rFonts w:eastAsia="Times New Roman" w:cs="Arial"/>
        </w:rPr>
      </w:pPr>
      <w:r w:rsidRPr="00701E9B">
        <w:rPr>
          <w:rFonts w:eastAsia="Times New Roman" w:cs="Arial"/>
        </w:rPr>
        <w:t xml:space="preserve">The City of </w:t>
      </w:r>
      <w:smartTag w:uri="urn:schemas-microsoft-com:office:smarttags" w:element="City">
        <w:smartTag w:uri="urn:schemas-microsoft-com:office:smarttags" w:element="place">
          <w:r w:rsidRPr="00701E9B">
            <w:rPr>
              <w:rFonts w:eastAsia="Times New Roman" w:cs="Arial"/>
            </w:rPr>
            <w:t>Bowling Green</w:t>
          </w:r>
        </w:smartTag>
      </w:smartTag>
      <w:r w:rsidRPr="00701E9B">
        <w:rPr>
          <w:rFonts w:eastAsia="Times New Roman" w:cs="Arial"/>
        </w:rPr>
        <w:t xml:space="preserve"> administers 606 Housing Choice Vouchers and offers a preference for homeless individuals and families.</w:t>
      </w:r>
    </w:p>
    <w:p w:rsidR="00C80341" w:rsidRDefault="00C80341" w:rsidP="00C80341">
      <w:pPr>
        <w:widowControl w:val="0"/>
        <w:spacing w:before="100" w:beforeAutospacing="1" w:after="100" w:afterAutospacing="1" w:line="240" w:lineRule="auto"/>
        <w:rPr>
          <w:rFonts w:eastAsia="Times New Roman" w:cs="Arial"/>
        </w:rPr>
      </w:pPr>
      <w:r w:rsidRPr="00701E9B">
        <w:rPr>
          <w:rFonts w:eastAsia="Times New Roman" w:cs="Arial"/>
        </w:rPr>
        <w:t xml:space="preserve">As part of the City’s Fair Housing Education and Outreach Program, the Bowling Green Human Rights Commission participates in the Homeless and Housing Coalition of South Central Kentucky’s Room in the </w:t>
      </w:r>
      <w:smartTag w:uri="urn:schemas-microsoft-com:office:smarttags" w:element="place">
        <w:r w:rsidRPr="00701E9B">
          <w:rPr>
            <w:rFonts w:eastAsia="Times New Roman" w:cs="Arial"/>
          </w:rPr>
          <w:t>Inn</w:t>
        </w:r>
      </w:smartTag>
      <w:r w:rsidRPr="00701E9B">
        <w:rPr>
          <w:rFonts w:eastAsia="Times New Roman" w:cs="Arial"/>
        </w:rPr>
        <w:t xml:space="preserve"> initiative to shelter homeless people in the area.</w:t>
      </w:r>
    </w:p>
    <w:p w:rsidR="00C80341" w:rsidRPr="00701E9B" w:rsidRDefault="00C80341" w:rsidP="00C80341">
      <w:pPr>
        <w:widowControl w:val="0"/>
        <w:spacing w:before="100" w:beforeAutospacing="1" w:after="100" w:afterAutospacing="1" w:line="240" w:lineRule="auto"/>
        <w:rPr>
          <w:rFonts w:eastAsia="Times New Roman" w:cs="Arial"/>
        </w:rPr>
      </w:pPr>
      <w:r>
        <w:rPr>
          <w:rFonts w:eastAsia="Times New Roman" w:cs="Arial"/>
        </w:rPr>
        <w:t>United Way of Southern Kentucky’s 2</w:t>
      </w:r>
      <w:r w:rsidR="00937AF7">
        <w:rPr>
          <w:rFonts w:eastAsia="Times New Roman" w:cs="Arial"/>
        </w:rPr>
        <w:t>-</w:t>
      </w:r>
      <w:r>
        <w:rPr>
          <w:rFonts w:eastAsia="Times New Roman" w:cs="Arial"/>
        </w:rPr>
        <w:t>1</w:t>
      </w:r>
      <w:r w:rsidR="00937AF7">
        <w:rPr>
          <w:rFonts w:eastAsia="Times New Roman" w:cs="Arial"/>
        </w:rPr>
        <w:t>-</w:t>
      </w:r>
      <w:r>
        <w:rPr>
          <w:rFonts w:eastAsia="Times New Roman" w:cs="Arial"/>
        </w:rPr>
        <w:t xml:space="preserve">1 </w:t>
      </w:r>
      <w:r w:rsidR="00937AF7">
        <w:rPr>
          <w:rFonts w:eastAsia="Times New Roman" w:cs="Arial"/>
        </w:rPr>
        <w:t>is a community resource navigation service that connects individuals and families to essential health and human services.  Under 2-1-1, numerous referrals were made for connecting the homeless to shelter opportunities.</w:t>
      </w:r>
    </w:p>
    <w:p w:rsidR="0011119D" w:rsidRDefault="00614B27">
      <w:pPr>
        <w:widowControl w:val="0"/>
        <w:rPr>
          <w:b/>
          <w:sz w:val="24"/>
          <w:szCs w:val="24"/>
        </w:rPr>
      </w:pPr>
      <w:r>
        <w:rPr>
          <w:b/>
          <w:sz w:val="24"/>
          <w:szCs w:val="24"/>
        </w:rPr>
        <w:t>Addressing the emergency shelter and transitional housing needs of homeless persons</w:t>
      </w:r>
    </w:p>
    <w:p w:rsidR="00937AF7" w:rsidRPr="00701E9B" w:rsidRDefault="00937AF7" w:rsidP="00937AF7">
      <w:pPr>
        <w:widowControl w:val="0"/>
        <w:spacing w:before="100" w:beforeAutospacing="1" w:after="100" w:afterAutospacing="1" w:line="240" w:lineRule="auto"/>
        <w:rPr>
          <w:rFonts w:eastAsia="Times New Roman" w:cs="Arial"/>
        </w:rPr>
      </w:pPr>
      <w:r w:rsidRPr="00701E9B">
        <w:rPr>
          <w:rFonts w:eastAsia="Times New Roman" w:cs="Arial"/>
        </w:rPr>
        <w:t>The City partners with its homeless service providers to address emergency shelter and transitional housing needs.  Hotel Inc. operates a transitional housing program which is limited to one family based on the availability of the unit. </w:t>
      </w:r>
    </w:p>
    <w:p w:rsidR="00937AF7" w:rsidRDefault="00937AF7" w:rsidP="00937AF7">
      <w:pPr>
        <w:widowControl w:val="0"/>
        <w:spacing w:before="100" w:beforeAutospacing="1" w:after="100" w:afterAutospacing="1" w:line="240" w:lineRule="auto"/>
        <w:rPr>
          <w:rFonts w:eastAsia="Times New Roman" w:cs="Arial"/>
        </w:rPr>
      </w:pPr>
      <w:r w:rsidRPr="00701E9B">
        <w:rPr>
          <w:rFonts w:eastAsia="Times New Roman" w:cs="Arial"/>
        </w:rPr>
        <w:t>There is a need of additional transitional housing</w:t>
      </w:r>
      <w:r>
        <w:rPr>
          <w:rFonts w:eastAsia="Times New Roman" w:cs="Arial"/>
        </w:rPr>
        <w:t xml:space="preserve"> in the community.  Last year</w:t>
      </w:r>
      <w:r w:rsidRPr="00701E9B">
        <w:rPr>
          <w:rFonts w:eastAsia="Times New Roman" w:cs="Arial"/>
        </w:rPr>
        <w:t xml:space="preserve"> a new men’s addition recovery transitional housing facility was built in </w:t>
      </w:r>
      <w:proofErr w:type="gramStart"/>
      <w:r w:rsidRPr="00701E9B">
        <w:rPr>
          <w:rFonts w:eastAsia="Times New Roman" w:cs="Arial"/>
        </w:rPr>
        <w:t>Bowling Green</w:t>
      </w:r>
      <w:proofErr w:type="gramEnd"/>
      <w:r w:rsidRPr="00701E9B">
        <w:rPr>
          <w:rFonts w:eastAsia="Times New Roman" w:cs="Arial"/>
        </w:rPr>
        <w:t>.  The new facility is partially funded with state CDBG funds.</w:t>
      </w:r>
    </w:p>
    <w:p w:rsidR="00937AF7" w:rsidRDefault="00937AF7" w:rsidP="00937AF7">
      <w:pPr>
        <w:widowControl w:val="0"/>
        <w:spacing w:before="100" w:beforeAutospacing="1" w:after="100" w:afterAutospacing="1" w:line="240" w:lineRule="auto"/>
        <w:rPr>
          <w:rFonts w:eastAsia="Times New Roman" w:cs="Arial"/>
        </w:rPr>
      </w:pPr>
      <w:r>
        <w:rPr>
          <w:rFonts w:eastAsia="Times New Roman" w:cs="Arial"/>
        </w:rPr>
        <w:t>United Way of Southern Kentucky’s 2-1-1 is a community resource navigation service that connects individuals and families to essential health and human services.  Under 2-1-1, numerous referrals were made for connecting the homeless to emergency shelter and transitional housing opportunities.</w:t>
      </w:r>
    </w:p>
    <w:p w:rsidR="00937AF7" w:rsidRPr="00701E9B" w:rsidRDefault="00937AF7" w:rsidP="00937AF7">
      <w:pPr>
        <w:widowControl w:val="0"/>
        <w:spacing w:before="100" w:beforeAutospacing="1" w:after="100" w:afterAutospacing="1" w:line="240" w:lineRule="auto"/>
        <w:rPr>
          <w:rFonts w:eastAsia="Times New Roman" w:cs="Arial"/>
        </w:rPr>
      </w:pPr>
      <w:r>
        <w:rPr>
          <w:rFonts w:eastAsia="Times New Roman" w:cs="Arial"/>
        </w:rPr>
        <w:t>During Year 13, the City undertook planning efforts and reached out to emergency shelter and transitional housing partners regarding the availability of CDBG funding for new affordable housing opportunities which could include emergency shelter and transitional housing.</w:t>
      </w:r>
    </w:p>
    <w:p w:rsidR="0011119D" w:rsidRDefault="00614B27">
      <w:pPr>
        <w:widowControl w:val="0"/>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E87626" w:rsidRDefault="00E87626" w:rsidP="00E87626">
      <w:pPr>
        <w:widowControl w:val="0"/>
        <w:spacing w:before="100" w:beforeAutospacing="1" w:after="100" w:afterAutospacing="1" w:line="240" w:lineRule="auto"/>
        <w:rPr>
          <w:rFonts w:eastAsia="Times New Roman" w:cs="Arial"/>
        </w:rPr>
      </w:pPr>
      <w:r w:rsidRPr="00E87626">
        <w:rPr>
          <w:rFonts w:eastAsia="Times New Roman" w:cs="Arial"/>
        </w:rPr>
        <w:t>Hotel Inc.'s transitional housing program includes financial training and basic life skills training as part of their program.  The goal is to make the homeless independent at the conclusion of the program.  The City's Housing Choice Voucher program gives a preference to persons homeless 30 of the last 45 days.  This provides an opportunity for families residing at the Salvation Army or domestic violence victims an opportunity to locate quality affordable housing.  The City is currently expanding the Administrative Plan of the Housing Choice Voucher Program to redefine the homeless eligibility requirements which should enhance the City’s ability to serve more families in need of assistance.</w:t>
      </w:r>
    </w:p>
    <w:p w:rsidR="00E87626" w:rsidRDefault="00E87626" w:rsidP="00E87626">
      <w:pPr>
        <w:widowControl w:val="0"/>
        <w:spacing w:before="100" w:beforeAutospacing="1" w:after="100" w:afterAutospacing="1" w:line="240" w:lineRule="auto"/>
        <w:rPr>
          <w:rFonts w:eastAsia="Times New Roman" w:cs="Arial"/>
        </w:rPr>
      </w:pPr>
      <w:r>
        <w:rPr>
          <w:rFonts w:eastAsia="Times New Roman" w:cs="Arial"/>
        </w:rPr>
        <w:t>United Way of Southern Kentucky’s 2-1-1 is a community resource navigation service that connects individuals and families to essential health and human services.  Under 2-1-1, numerous referrals were made for helping low-income individuals and families receive assistance for housing, health, social services, employment, education, and youth needs.</w:t>
      </w:r>
    </w:p>
    <w:p w:rsidR="0011119D" w:rsidRDefault="00614B27">
      <w:pPr>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E87626" w:rsidRPr="00E87626" w:rsidRDefault="00E87626" w:rsidP="00E87626">
      <w:pPr>
        <w:widowControl w:val="0"/>
        <w:spacing w:before="100" w:beforeAutospacing="1" w:after="100" w:afterAutospacing="1" w:line="240" w:lineRule="auto"/>
        <w:rPr>
          <w:rFonts w:eastAsia="Times New Roman" w:cs="Arial"/>
        </w:rPr>
      </w:pPr>
      <w:r w:rsidRPr="00E87626">
        <w:rPr>
          <w:rFonts w:eastAsia="Times New Roman" w:cs="Arial"/>
        </w:rPr>
        <w:t xml:space="preserve">The City’s partnership with the </w:t>
      </w:r>
      <w:smartTag w:uri="urn:schemas-microsoft-com:office:smarttags" w:element="place">
        <w:smartTag w:uri="urn:schemas-microsoft-com:office:smarttags" w:element="PlaceName">
          <w:r w:rsidRPr="00E87626">
            <w:rPr>
              <w:rFonts w:eastAsia="Times New Roman" w:cs="Arial"/>
            </w:rPr>
            <w:t>Bowling</w:t>
          </w:r>
        </w:smartTag>
        <w:r w:rsidRPr="00E87626">
          <w:rPr>
            <w:rFonts w:eastAsia="Times New Roman" w:cs="Arial"/>
          </w:rPr>
          <w:t xml:space="preserve"> </w:t>
        </w:r>
        <w:smartTag w:uri="urn:schemas-microsoft-com:office:smarttags" w:element="PlaceName">
          <w:r w:rsidRPr="00E87626">
            <w:rPr>
              <w:rFonts w:eastAsia="Times New Roman" w:cs="Arial"/>
            </w:rPr>
            <w:t>Green-Warren</w:t>
          </w:r>
        </w:smartTag>
        <w:r w:rsidRPr="00E87626">
          <w:rPr>
            <w:rFonts w:eastAsia="Times New Roman" w:cs="Arial"/>
          </w:rPr>
          <w:t xml:space="preserve"> </w:t>
        </w:r>
        <w:smartTag w:uri="urn:schemas-microsoft-com:office:smarttags" w:element="PlaceType">
          <w:r w:rsidRPr="00E87626">
            <w:rPr>
              <w:rFonts w:eastAsia="Times New Roman" w:cs="Arial"/>
            </w:rPr>
            <w:t>County</w:t>
          </w:r>
        </w:smartTag>
        <w:r w:rsidRPr="00E87626">
          <w:rPr>
            <w:rFonts w:eastAsia="Times New Roman" w:cs="Arial"/>
          </w:rPr>
          <w:t xml:space="preserve"> </w:t>
        </w:r>
        <w:smartTag w:uri="urn:schemas-microsoft-com:office:smarttags" w:element="PlaceName">
          <w:r w:rsidRPr="00E87626">
            <w:rPr>
              <w:rFonts w:eastAsia="Times New Roman" w:cs="Arial"/>
            </w:rPr>
            <w:t>Welfare</w:t>
          </w:r>
        </w:smartTag>
        <w:r w:rsidRPr="00E87626">
          <w:rPr>
            <w:rFonts w:eastAsia="Times New Roman" w:cs="Arial"/>
          </w:rPr>
          <w:t xml:space="preserve"> </w:t>
        </w:r>
        <w:smartTag w:uri="urn:schemas-microsoft-com:office:smarttags" w:element="PlaceType">
          <w:r w:rsidRPr="00E87626">
            <w:rPr>
              <w:rFonts w:eastAsia="Times New Roman" w:cs="Arial"/>
            </w:rPr>
            <w:t>Center</w:t>
          </w:r>
        </w:smartTag>
      </w:smartTag>
      <w:r w:rsidRPr="00E87626">
        <w:rPr>
          <w:rFonts w:eastAsia="Times New Roman" w:cs="Arial"/>
        </w:rPr>
        <w:t>’s Assistance</w:t>
      </w:r>
      <w:r>
        <w:rPr>
          <w:rFonts w:eastAsia="Times New Roman" w:cs="Arial"/>
        </w:rPr>
        <w:t xml:space="preserve"> Payments program resulted in 53</w:t>
      </w:r>
      <w:r w:rsidRPr="00E87626">
        <w:rPr>
          <w:rFonts w:eastAsia="Times New Roman" w:cs="Arial"/>
        </w:rPr>
        <w:t xml:space="preserve"> families receiving rental assistance that would otherwise be facing eviction.  </w:t>
      </w:r>
      <w:r w:rsidR="00B66B7D">
        <w:rPr>
          <w:rFonts w:eastAsia="Times New Roman" w:cs="Arial"/>
        </w:rPr>
        <w:t>6</w:t>
      </w:r>
      <w:r>
        <w:rPr>
          <w:rFonts w:eastAsia="Times New Roman" w:cs="Arial"/>
        </w:rPr>
        <w:t>3</w:t>
      </w:r>
      <w:r w:rsidRPr="00E87626">
        <w:rPr>
          <w:rFonts w:eastAsia="Times New Roman" w:cs="Arial"/>
        </w:rPr>
        <w:t xml:space="preserve">% of the total individuals helped under the Assistance Payments Program were extremely low-income, </w:t>
      </w:r>
      <w:r w:rsidR="00B66B7D">
        <w:rPr>
          <w:rFonts w:eastAsia="Times New Roman" w:cs="Arial"/>
        </w:rPr>
        <w:t>30</w:t>
      </w:r>
      <w:r w:rsidRPr="00E87626">
        <w:rPr>
          <w:rFonts w:eastAsia="Times New Roman" w:cs="Arial"/>
        </w:rPr>
        <w:t xml:space="preserve">% were very low-income, and </w:t>
      </w:r>
      <w:r w:rsidR="00B66B7D">
        <w:rPr>
          <w:rFonts w:eastAsia="Times New Roman" w:cs="Arial"/>
        </w:rPr>
        <w:t>7</w:t>
      </w:r>
      <w:r w:rsidRPr="00E87626">
        <w:rPr>
          <w:rFonts w:eastAsia="Times New Roman" w:cs="Arial"/>
        </w:rPr>
        <w:t>% were low-to-moderate-income.</w:t>
      </w:r>
    </w:p>
    <w:p w:rsidR="00E87626" w:rsidRPr="00E87626" w:rsidRDefault="00E87626" w:rsidP="00E87626">
      <w:pPr>
        <w:widowControl w:val="0"/>
        <w:spacing w:before="100" w:beforeAutospacing="1" w:after="100" w:afterAutospacing="1" w:line="240" w:lineRule="auto"/>
        <w:rPr>
          <w:rFonts w:eastAsia="Times New Roman" w:cs="Arial"/>
        </w:rPr>
      </w:pPr>
      <w:r w:rsidRPr="00E87626">
        <w:rPr>
          <w:rFonts w:eastAsia="Times New Roman" w:cs="Arial"/>
        </w:rPr>
        <w:t>Hope House Ministries’ transitional housing program will be available to all men struggling with substance abuse, but the program will primarily be targeting men exiting incarceration.  The program will provide substance abuse services, financial literacy, job training, to provide participants with the skills to succeed in society while reducing recidivism rates.</w:t>
      </w:r>
    </w:p>
    <w:p w:rsidR="00B66B7D" w:rsidRDefault="00B66B7D" w:rsidP="00B66B7D">
      <w:pPr>
        <w:widowControl w:val="0"/>
        <w:spacing w:before="100" w:beforeAutospacing="1" w:after="100" w:afterAutospacing="1" w:line="240" w:lineRule="auto"/>
        <w:rPr>
          <w:rFonts w:eastAsia="Times New Roman" w:cs="Arial"/>
        </w:rPr>
      </w:pPr>
      <w:r>
        <w:rPr>
          <w:rFonts w:eastAsia="Times New Roman" w:cs="Arial"/>
        </w:rPr>
        <w:t>United Way of Southern Kentucky’s 2-1-1 is a community resource navigation service that connects individuals and families to essential health and human services.  Under 2-1-1, numerous referrals were made for helping homeless persons to gain access to transitional and affordable permanent housing opportunities.</w:t>
      </w:r>
    </w:p>
    <w:p w:rsidR="0011119D" w:rsidRDefault="0011119D">
      <w:pPr>
        <w:widowControl w:val="0"/>
        <w:rPr>
          <w:rFonts w:cs="Arial"/>
          <w:szCs w:val="26"/>
        </w:rPr>
      </w:pPr>
    </w:p>
    <w:p w:rsidR="0011119D" w:rsidRDefault="00614B27">
      <w:pPr>
        <w:pStyle w:val="Heading2"/>
        <w:pageBreakBefore/>
        <w:widowControl w:val="0"/>
        <w:rPr>
          <w:rFonts w:ascii="Calibri" w:hAnsi="Calibri"/>
          <w:i w:val="0"/>
        </w:rPr>
      </w:pPr>
      <w:r>
        <w:rPr>
          <w:rFonts w:ascii="Calibri" w:hAnsi="Calibri"/>
          <w:i w:val="0"/>
        </w:rPr>
        <w:t>CR-30 - Public Housing 91.220(h); 91.320(j)</w:t>
      </w:r>
    </w:p>
    <w:p w:rsidR="0011119D" w:rsidRDefault="00614B27">
      <w:pPr>
        <w:keepNext/>
        <w:widowControl w:val="0"/>
        <w:rPr>
          <w:b/>
          <w:sz w:val="24"/>
          <w:szCs w:val="24"/>
        </w:rPr>
      </w:pPr>
      <w:r>
        <w:rPr>
          <w:b/>
          <w:sz w:val="24"/>
          <w:szCs w:val="24"/>
        </w:rPr>
        <w:t>Actions taken to address the needs of public housing</w:t>
      </w:r>
    </w:p>
    <w:p w:rsidR="00DA0595" w:rsidRPr="00DA0595" w:rsidRDefault="00DA0595" w:rsidP="00DA0595">
      <w:pPr>
        <w:keepNext/>
        <w:widowControl w:val="0"/>
        <w:spacing w:before="100" w:beforeAutospacing="1" w:after="100" w:afterAutospacing="1" w:line="240" w:lineRule="auto"/>
        <w:rPr>
          <w:rFonts w:eastAsia="Times New Roman" w:cs="Arial"/>
        </w:rPr>
      </w:pPr>
      <w:r w:rsidRPr="00DA0595">
        <w:rPr>
          <w:rFonts w:eastAsia="Times New Roman" w:cs="Arial"/>
        </w:rPr>
        <w:t xml:space="preserve">Quality Affordable Housing is a priority of the Consolidated Plan and the City of </w:t>
      </w:r>
      <w:smartTag w:uri="urn:schemas-microsoft-com:office:smarttags" w:element="City">
        <w:smartTag w:uri="urn:schemas-microsoft-com:office:smarttags" w:element="place">
          <w:r w:rsidRPr="00DA0595">
            <w:rPr>
              <w:rFonts w:eastAsia="Times New Roman" w:cs="Arial"/>
            </w:rPr>
            <w:t>Bowling Green</w:t>
          </w:r>
        </w:smartTag>
      </w:smartTag>
      <w:r w:rsidRPr="00DA0595">
        <w:rPr>
          <w:rFonts w:eastAsia="Times New Roman" w:cs="Arial"/>
        </w:rPr>
        <w:t>.  Acti</w:t>
      </w:r>
      <w:r>
        <w:rPr>
          <w:rFonts w:eastAsia="Times New Roman" w:cs="Arial"/>
        </w:rPr>
        <w:t>vities were conducted in Year 13</w:t>
      </w:r>
      <w:r w:rsidRPr="00DA0595">
        <w:rPr>
          <w:rFonts w:eastAsia="Times New Roman" w:cs="Arial"/>
        </w:rPr>
        <w:t xml:space="preserve"> helped to address this priority need.  </w:t>
      </w:r>
    </w:p>
    <w:p w:rsidR="00DA0595" w:rsidRPr="00DA0595" w:rsidRDefault="00DA0595" w:rsidP="00DA0595">
      <w:pPr>
        <w:keepNext/>
        <w:widowControl w:val="0"/>
        <w:spacing w:before="100" w:beforeAutospacing="1" w:after="100" w:afterAutospacing="1" w:line="240" w:lineRule="auto"/>
        <w:rPr>
          <w:rFonts w:eastAsia="Times New Roman" w:cs="Arial"/>
        </w:rPr>
      </w:pPr>
      <w:r w:rsidRPr="00DA0595">
        <w:rPr>
          <w:rFonts w:eastAsia="Times New Roman" w:cs="Arial"/>
        </w:rPr>
        <w:t>Continuation funding for the Fair Housing Education program further assisted residents of the community in understanding their rights and responsibilities under the Federal Fair Housing Laws.  This establishes important groundwork for households who are seeking homeownership opportunities.  The Fair Housing Education program addresses the Suitable Living Environmental objective through the outcome of Availability/Accessibility.  The City supplements this program with local funds as needed.</w:t>
      </w:r>
    </w:p>
    <w:p w:rsidR="00DA0595" w:rsidRDefault="00DA0595" w:rsidP="00DA0595">
      <w:pPr>
        <w:keepNext/>
        <w:widowControl w:val="0"/>
        <w:spacing w:before="100" w:beforeAutospacing="1" w:after="100" w:afterAutospacing="1" w:line="240" w:lineRule="auto"/>
        <w:rPr>
          <w:rFonts w:eastAsia="Times New Roman" w:cs="Arial"/>
        </w:rPr>
      </w:pPr>
      <w:r w:rsidRPr="00DA0595">
        <w:rPr>
          <w:rFonts w:eastAsia="Times New Roman" w:cs="Arial"/>
        </w:rPr>
        <w:t>The City also provides Section 8 Housing Choice Vouchers for homeownership.  At present 17 households are being assisted with mortgage payments.</w:t>
      </w:r>
    </w:p>
    <w:p w:rsidR="00DA0595" w:rsidRPr="00701E9B" w:rsidRDefault="00DA0595" w:rsidP="00DA0595">
      <w:pPr>
        <w:widowControl w:val="0"/>
        <w:spacing w:before="100" w:beforeAutospacing="1" w:after="100" w:afterAutospacing="1" w:line="240" w:lineRule="auto"/>
        <w:rPr>
          <w:rFonts w:eastAsia="Times New Roman" w:cs="Arial"/>
        </w:rPr>
      </w:pPr>
      <w:r>
        <w:rPr>
          <w:rFonts w:eastAsia="Times New Roman" w:cs="Arial"/>
        </w:rPr>
        <w:t>During Year 13, the City undertook planning efforts and reached out to public housing partners regarding the availability of CDBG funding for new affordable housing opportunities which could address the needs of public housing.</w:t>
      </w:r>
    </w:p>
    <w:p w:rsidR="00DA0595" w:rsidRDefault="00DA0595" w:rsidP="00DA0595">
      <w:pPr>
        <w:keepNext/>
        <w:widowControl w:val="0"/>
        <w:spacing w:before="100" w:beforeAutospacing="1" w:after="100" w:afterAutospacing="1" w:line="240" w:lineRule="auto"/>
        <w:rPr>
          <w:rFonts w:eastAsia="Times New Roman" w:cs="Arial"/>
        </w:rPr>
      </w:pPr>
      <w:r w:rsidRPr="00DA0595">
        <w:rPr>
          <w:rFonts w:eastAsia="Times New Roman" w:cs="Arial"/>
        </w:rPr>
        <w:t xml:space="preserve">Bowling </w:t>
      </w:r>
      <w:proofErr w:type="gramStart"/>
      <w:r w:rsidRPr="00DA0595">
        <w:rPr>
          <w:rFonts w:eastAsia="Times New Roman" w:cs="Arial"/>
        </w:rPr>
        <w:t>Green</w:t>
      </w:r>
      <w:proofErr w:type="gramEnd"/>
      <w:r w:rsidRPr="00DA0595">
        <w:rPr>
          <w:rFonts w:eastAsia="Times New Roman" w:cs="Arial"/>
        </w:rPr>
        <w:t xml:space="preserve"> like many other cities is seeing a substantial increase in the development of apartment complexes and the conversion of existing housing stock to rental units.  This transition is expected to continue for the next couple of years and will have lasting impacts on our community into the future.</w:t>
      </w:r>
    </w:p>
    <w:p w:rsidR="0011119D" w:rsidRDefault="00614B27">
      <w:pPr>
        <w:widowControl w:val="0"/>
        <w:rPr>
          <w:b/>
          <w:sz w:val="24"/>
          <w:szCs w:val="24"/>
        </w:rPr>
      </w:pPr>
      <w:r>
        <w:rPr>
          <w:b/>
          <w:sz w:val="24"/>
          <w:szCs w:val="24"/>
        </w:rPr>
        <w:t>Actions taken to encourage public housing residents to become more involved in management and participate in homeownership</w:t>
      </w:r>
    </w:p>
    <w:p w:rsidR="00DA0595" w:rsidRPr="00DA0595" w:rsidRDefault="00DA0595" w:rsidP="00DA0595">
      <w:pPr>
        <w:widowControl w:val="0"/>
        <w:spacing w:beforeAutospacing="1" w:afterAutospacing="1"/>
        <w:rPr>
          <w:rFonts w:eastAsia="Times New Roman" w:cs="Arial"/>
        </w:rPr>
      </w:pPr>
      <w:r w:rsidRPr="00DA0595">
        <w:rPr>
          <w:rFonts w:eastAsia="Times New Roman" w:cs="Arial"/>
        </w:rPr>
        <w:t>The City's HCV program utilizes graduates of the Housing Authority's Homeowner program for Homeownership Vouchers.  The City and the HABG have a history of partnering together for the creation and development of affordable housing opportunities. </w:t>
      </w:r>
    </w:p>
    <w:p w:rsidR="0011119D" w:rsidRDefault="00614B27">
      <w:pPr>
        <w:widowControl w:val="0"/>
        <w:rPr>
          <w:b/>
          <w:sz w:val="24"/>
          <w:szCs w:val="24"/>
        </w:rPr>
      </w:pPr>
      <w:r>
        <w:rPr>
          <w:b/>
          <w:sz w:val="24"/>
          <w:szCs w:val="24"/>
        </w:rPr>
        <w:t>Actions taken to provide assistance to troubled PHAs</w:t>
      </w:r>
    </w:p>
    <w:p w:rsidR="00DA0595" w:rsidRPr="00DA0595" w:rsidRDefault="00DA0595" w:rsidP="00DA0595">
      <w:pPr>
        <w:widowControl w:val="0"/>
        <w:rPr>
          <w:rFonts w:eastAsia="Times New Roman"/>
          <w:bCs/>
          <w:sz w:val="24"/>
          <w:szCs w:val="24"/>
        </w:rPr>
      </w:pPr>
      <w:r w:rsidRPr="00DA0595">
        <w:rPr>
          <w:rFonts w:eastAsia="Times New Roman"/>
          <w:bCs/>
          <w:sz w:val="24"/>
          <w:szCs w:val="24"/>
        </w:rPr>
        <w:t xml:space="preserve">There are current no troubled PHAs in </w:t>
      </w:r>
      <w:proofErr w:type="gramStart"/>
      <w:r w:rsidRPr="00DA0595">
        <w:rPr>
          <w:rFonts w:eastAsia="Times New Roman"/>
          <w:bCs/>
          <w:sz w:val="24"/>
          <w:szCs w:val="24"/>
        </w:rPr>
        <w:t>Bowling Green</w:t>
      </w:r>
      <w:proofErr w:type="gramEnd"/>
      <w:r w:rsidRPr="00DA0595">
        <w:rPr>
          <w:rFonts w:eastAsia="Times New Roman"/>
          <w:bCs/>
          <w:sz w:val="24"/>
          <w:szCs w:val="24"/>
        </w:rPr>
        <w:t>.</w:t>
      </w:r>
    </w:p>
    <w:p w:rsidR="00DA0595" w:rsidRDefault="00DA0595">
      <w:pPr>
        <w:widowControl w:val="0"/>
        <w:rPr>
          <w:b/>
          <w:sz w:val="24"/>
          <w:szCs w:val="24"/>
        </w:rPr>
      </w:pPr>
    </w:p>
    <w:p w:rsidR="0011119D" w:rsidRDefault="00614B27">
      <w:pPr>
        <w:pStyle w:val="Heading2"/>
        <w:pageBreakBefore/>
        <w:widowControl w:val="0"/>
        <w:rPr>
          <w:rFonts w:ascii="Calibri" w:hAnsi="Calibri"/>
          <w:i w:val="0"/>
        </w:rPr>
      </w:pPr>
      <w:r>
        <w:rPr>
          <w:rFonts w:ascii="Calibri" w:hAnsi="Calibri"/>
          <w:i w:val="0"/>
        </w:rPr>
        <w:t>CR-35 - Other Actions 91.220(j)-(k); 91.320(</w:t>
      </w:r>
      <w:proofErr w:type="spellStart"/>
      <w:r>
        <w:rPr>
          <w:rFonts w:ascii="Calibri" w:hAnsi="Calibri"/>
          <w:i w:val="0"/>
        </w:rPr>
        <w:t>i</w:t>
      </w:r>
      <w:proofErr w:type="spellEnd"/>
      <w:r>
        <w:rPr>
          <w:rFonts w:ascii="Calibri" w:hAnsi="Calibri"/>
          <w:i w:val="0"/>
        </w:rPr>
        <w:t>)-(j)</w:t>
      </w:r>
    </w:p>
    <w:p w:rsidR="0011119D" w:rsidRDefault="00614B27">
      <w:pPr>
        <w:widowControl w:val="0"/>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w:t>
      </w:r>
      <w:proofErr w:type="spellStart"/>
      <w:r>
        <w:rPr>
          <w:b/>
          <w:sz w:val="24"/>
          <w:szCs w:val="24"/>
        </w:rPr>
        <w:t>i</w:t>
      </w:r>
      <w:proofErr w:type="spellEnd"/>
      <w:r>
        <w:rPr>
          <w:b/>
          <w:sz w:val="24"/>
          <w:szCs w:val="24"/>
        </w:rPr>
        <w:t>)</w:t>
      </w:r>
    </w:p>
    <w:p w:rsidR="005A47C3" w:rsidRPr="00701E9B" w:rsidRDefault="005A47C3" w:rsidP="005A47C3">
      <w:pPr>
        <w:widowControl w:val="0"/>
        <w:spacing w:before="100" w:beforeAutospacing="1" w:after="100" w:afterAutospacing="1" w:line="240" w:lineRule="auto"/>
        <w:rPr>
          <w:rFonts w:eastAsia="Times New Roman" w:cs="Arial"/>
        </w:rPr>
      </w:pPr>
      <w:r w:rsidRPr="00701E9B">
        <w:rPr>
          <w:rFonts w:eastAsia="Times New Roman" w:cs="Arial"/>
        </w:rPr>
        <w:t>The City waived permit fees for nonprofits building single family homes.  This incentive assisted organizations such as the Housing Authority or Habitat for Humanity in meeting their goals of providing affordable housing. </w:t>
      </w:r>
    </w:p>
    <w:p w:rsidR="005A47C3" w:rsidRPr="00701E9B" w:rsidRDefault="005A47C3" w:rsidP="005A47C3">
      <w:pPr>
        <w:widowControl w:val="0"/>
        <w:spacing w:before="100" w:beforeAutospacing="1" w:after="100" w:afterAutospacing="1" w:line="240" w:lineRule="auto"/>
        <w:rPr>
          <w:rFonts w:eastAsia="Times New Roman" w:cs="Arial"/>
        </w:rPr>
      </w:pPr>
      <w:r w:rsidRPr="00701E9B">
        <w:rPr>
          <w:rFonts w:eastAsia="Times New Roman" w:cs="Arial"/>
        </w:rPr>
        <w:t xml:space="preserve">The City of </w:t>
      </w:r>
      <w:smartTag w:uri="urn:schemas-microsoft-com:office:smarttags" w:element="City">
        <w:smartTag w:uri="urn:schemas-microsoft-com:office:smarttags" w:element="place">
          <w:r w:rsidRPr="00701E9B">
            <w:rPr>
              <w:rFonts w:eastAsia="Times New Roman" w:cs="Arial"/>
            </w:rPr>
            <w:t>Bowling Green</w:t>
          </w:r>
        </w:smartTag>
      </w:smartTag>
      <w:r w:rsidRPr="00701E9B">
        <w:rPr>
          <w:rFonts w:eastAsia="Times New Roman" w:cs="Arial"/>
        </w:rPr>
        <w:t xml:space="preserve"> has a limited number of policies that could affect the affordability of housing development and strives to ensure that its policies and regulations are not cost burdensome to affordable housing developers. </w:t>
      </w:r>
    </w:p>
    <w:p w:rsidR="0011119D" w:rsidRDefault="00614B27">
      <w:pPr>
        <w:widowControl w:val="0"/>
        <w:rPr>
          <w:b/>
          <w:sz w:val="24"/>
          <w:szCs w:val="24"/>
        </w:rPr>
      </w:pPr>
      <w:r>
        <w:rPr>
          <w:b/>
          <w:sz w:val="24"/>
          <w:szCs w:val="24"/>
        </w:rPr>
        <w:t>Actions taken to address obstacles to meeting underserved needs.  91.220(k); 91.320(j)</w:t>
      </w:r>
    </w:p>
    <w:p w:rsidR="005A47C3" w:rsidRPr="00701E9B" w:rsidRDefault="005A47C3" w:rsidP="005A47C3">
      <w:pPr>
        <w:widowControl w:val="0"/>
        <w:spacing w:before="100" w:beforeAutospacing="1" w:after="100" w:afterAutospacing="1" w:line="240" w:lineRule="auto"/>
        <w:rPr>
          <w:rFonts w:eastAsia="Times New Roman" w:cs="Helvetica"/>
          <w:color w:val="333333"/>
          <w:shd w:val="clear" w:color="auto" w:fill="FFFFFF"/>
        </w:rPr>
      </w:pPr>
      <w:r w:rsidRPr="00701E9B">
        <w:rPr>
          <w:rFonts w:eastAsia="Times New Roman" w:cs="Arial"/>
        </w:rPr>
        <w:t xml:space="preserve">The City worked with its network of local service providers to identify underserved needs within the community and looked for ways to make resources available to the underserved population.  The City has a steady inflow of international refugees from all over the world.  During this past year, the City </w:t>
      </w:r>
      <w:r>
        <w:rPr>
          <w:rFonts w:eastAsia="Times New Roman" w:cs="Arial"/>
        </w:rPr>
        <w:t>began its 2</w:t>
      </w:r>
      <w:r w:rsidRPr="005A47C3">
        <w:rPr>
          <w:rFonts w:eastAsia="Times New Roman" w:cs="Arial"/>
          <w:vertAlign w:val="superscript"/>
        </w:rPr>
        <w:t>nd</w:t>
      </w:r>
      <w:r>
        <w:rPr>
          <w:rFonts w:eastAsia="Times New Roman" w:cs="Arial"/>
        </w:rPr>
        <w:t xml:space="preserve"> annual</w:t>
      </w:r>
      <w:r w:rsidRPr="00701E9B">
        <w:rPr>
          <w:rFonts w:eastAsia="Times New Roman" w:cs="Helvetica"/>
          <w:shd w:val="clear" w:color="auto" w:fill="FFFFFF"/>
        </w:rPr>
        <w:t xml:space="preserve"> Academy for New Americans, a free leadership-training program sponsored by the City of </w:t>
      </w:r>
      <w:smartTag w:uri="urn:schemas-microsoft-com:office:smarttags" w:element="City">
        <w:smartTag w:uri="urn:schemas-microsoft-com:office:smarttags" w:element="place">
          <w:r w:rsidRPr="00701E9B">
            <w:rPr>
              <w:rFonts w:eastAsia="Times New Roman" w:cs="Helvetica"/>
              <w:shd w:val="clear" w:color="auto" w:fill="FFFFFF"/>
            </w:rPr>
            <w:t>Bowling Green</w:t>
          </w:r>
        </w:smartTag>
      </w:smartTag>
      <w:r w:rsidRPr="00701E9B">
        <w:rPr>
          <w:rFonts w:eastAsia="Times New Roman" w:cs="Helvetica"/>
          <w:shd w:val="clear" w:color="auto" w:fill="FFFFFF"/>
        </w:rPr>
        <w:t xml:space="preserve"> that empowers New Americans to understand and participate in City Government. The purpose of the program is to provide New Americans the tools necessary to successfully navigate City services, community information and resources in order to become key stakeholders in assisting their respective ethnic communities and neighborhoods.</w:t>
      </w:r>
      <w:r w:rsidRPr="00701E9B">
        <w:rPr>
          <w:rFonts w:eastAsia="Times New Roman" w:cs="Helvetica"/>
          <w:color w:val="333333"/>
          <w:shd w:val="clear" w:color="auto" w:fill="FFFFFF"/>
        </w:rPr>
        <w:t> </w:t>
      </w:r>
    </w:p>
    <w:p w:rsidR="005A47C3" w:rsidRDefault="005A47C3" w:rsidP="005A47C3">
      <w:pPr>
        <w:widowControl w:val="0"/>
        <w:spacing w:before="100" w:beforeAutospacing="1" w:after="100" w:afterAutospacing="1" w:line="240" w:lineRule="auto"/>
        <w:rPr>
          <w:rFonts w:eastAsia="Times New Roman" w:cs="Arial"/>
        </w:rPr>
      </w:pPr>
      <w:r w:rsidRPr="00701E9B">
        <w:rPr>
          <w:rFonts w:eastAsia="Times New Roman" w:cs="Arial"/>
        </w:rPr>
        <w:t>The City continued its existing new partnership with Big Brothers and Big Sisters of South Central Kentucky for a Youth Mentoring Program.  The program targets children of single parent households, incarcerated parents, victims of abuse, an</w:t>
      </w:r>
      <w:r>
        <w:rPr>
          <w:rFonts w:eastAsia="Times New Roman" w:cs="Arial"/>
        </w:rPr>
        <w:t>d at or below poverty level.  24</w:t>
      </w:r>
      <w:r w:rsidRPr="00701E9B">
        <w:rPr>
          <w:rFonts w:eastAsia="Times New Roman" w:cs="Arial"/>
        </w:rPr>
        <w:t xml:space="preserve"> LMI children were assisted under the program.   </w:t>
      </w:r>
    </w:p>
    <w:p w:rsidR="005A47C3" w:rsidRDefault="005A47C3" w:rsidP="005A47C3">
      <w:pPr>
        <w:widowControl w:val="0"/>
        <w:spacing w:before="100" w:beforeAutospacing="1" w:after="100" w:afterAutospacing="1" w:line="240" w:lineRule="auto"/>
        <w:rPr>
          <w:rFonts w:eastAsia="Times New Roman" w:cs="Arial"/>
        </w:rPr>
      </w:pPr>
      <w:r>
        <w:rPr>
          <w:rFonts w:eastAsia="Times New Roman" w:cs="Arial"/>
        </w:rPr>
        <w:t>In a new attempt to address obstacles to meeting underserved needs, the City funded United Way of Southern Kentucky’s 2-1-1, a community resource navigation service that connects individuals and families to essential health and human services.  Under 2-1-1, a wide variety of referrals were made to meet underserved needs in the community.</w:t>
      </w:r>
    </w:p>
    <w:p w:rsidR="00A95F6B" w:rsidRPr="00701E9B" w:rsidRDefault="00A95F6B" w:rsidP="00A95F6B">
      <w:pPr>
        <w:widowControl w:val="0"/>
        <w:spacing w:beforeAutospacing="1" w:afterAutospacing="1"/>
        <w:rPr>
          <w:rFonts w:eastAsia="Times New Roman" w:cs="Arial"/>
        </w:rPr>
      </w:pPr>
      <w:r>
        <w:rPr>
          <w:rFonts w:eastAsia="Times New Roman" w:cs="Arial"/>
        </w:rPr>
        <w:t>Also the City partnered with a local public transit agency to provide the equivalent of six months of free public transit passes for LMI individuals gaining access to employment or employment related services.  32 individuals benefitted from this program.</w:t>
      </w:r>
    </w:p>
    <w:p w:rsidR="0011119D" w:rsidRDefault="00614B27">
      <w:pPr>
        <w:widowControl w:val="0"/>
        <w:rPr>
          <w:b/>
          <w:sz w:val="24"/>
          <w:szCs w:val="24"/>
        </w:rPr>
      </w:pPr>
      <w:r>
        <w:rPr>
          <w:b/>
          <w:sz w:val="24"/>
          <w:szCs w:val="24"/>
        </w:rPr>
        <w:t>Actions taken to reduce lead-based paint hazards. 91.220(k); 91.320(j)</w:t>
      </w:r>
    </w:p>
    <w:p w:rsidR="005A47C3" w:rsidRPr="00701E9B" w:rsidRDefault="005A47C3" w:rsidP="005A47C3">
      <w:pPr>
        <w:widowControl w:val="0"/>
        <w:spacing w:before="100" w:beforeAutospacing="1" w:after="100" w:afterAutospacing="1" w:line="240" w:lineRule="auto"/>
        <w:rPr>
          <w:rFonts w:eastAsia="Times New Roman" w:cs="Arial"/>
        </w:rPr>
      </w:pPr>
      <w:r>
        <w:rPr>
          <w:rFonts w:eastAsia="Times New Roman" w:cs="Arial"/>
        </w:rPr>
        <w:t xml:space="preserve">During Year 13 the City initiated an exterior property renovation program.  Under this program most properties didn’t disturb paint surfaces which resulted in a reduction in lead-based hazards.  Furthermore the few properties </w:t>
      </w:r>
      <w:r w:rsidR="009D3546">
        <w:rPr>
          <w:rFonts w:eastAsia="Times New Roman" w:cs="Arial"/>
        </w:rPr>
        <w:t>with the potential to disturb paint surfaces undertook activities to encapsulate painting surfaces which also reduced lead-based paint hazards</w:t>
      </w:r>
      <w:r w:rsidRPr="00701E9B">
        <w:rPr>
          <w:rFonts w:eastAsia="Times New Roman" w:cs="Arial"/>
        </w:rPr>
        <w:t>.  When undertaking future homeowner rehabilitation projects, the City will continue to take actions to reduce lead-based paint hazards.</w:t>
      </w:r>
    </w:p>
    <w:p w:rsidR="0011119D" w:rsidRDefault="00614B27">
      <w:pPr>
        <w:widowControl w:val="0"/>
        <w:rPr>
          <w:b/>
          <w:sz w:val="24"/>
          <w:szCs w:val="24"/>
        </w:rPr>
      </w:pPr>
      <w:r>
        <w:rPr>
          <w:b/>
          <w:sz w:val="24"/>
          <w:szCs w:val="24"/>
        </w:rPr>
        <w:t>Actions taken to reduce the number of poverty-level families. 91.220(k); 91.320(j)</w:t>
      </w:r>
    </w:p>
    <w:p w:rsidR="009D3546" w:rsidRPr="00701E9B" w:rsidRDefault="009D3546" w:rsidP="009D3546">
      <w:pPr>
        <w:widowControl w:val="0"/>
        <w:spacing w:before="100" w:beforeAutospacing="1" w:after="100" w:afterAutospacing="1" w:line="240" w:lineRule="auto"/>
        <w:rPr>
          <w:rFonts w:eastAsia="Times New Roman" w:cs="Arial"/>
        </w:rPr>
      </w:pPr>
      <w:r w:rsidRPr="00701E9B">
        <w:rPr>
          <w:rFonts w:eastAsia="Times New Roman" w:cs="Arial"/>
        </w:rPr>
        <w:t xml:space="preserve">The City partnered with one local organization to provide small business training.  This created the opportunity for local residents to learn aspects of small business and to assist in receiving start up financing.  As </w:t>
      </w:r>
      <w:r>
        <w:rPr>
          <w:rFonts w:eastAsia="Times New Roman" w:cs="Arial"/>
        </w:rPr>
        <w:t>a result of these investments 3</w:t>
      </w:r>
      <w:r w:rsidRPr="00701E9B">
        <w:rPr>
          <w:rFonts w:eastAsia="Times New Roman" w:cs="Arial"/>
        </w:rPr>
        <w:t xml:space="preserve"> new businesses were started and 3 new jobs were created. </w:t>
      </w:r>
    </w:p>
    <w:p w:rsidR="009D3546" w:rsidRDefault="009D3546" w:rsidP="009D3546">
      <w:pPr>
        <w:widowControl w:val="0"/>
        <w:spacing w:beforeAutospacing="1" w:afterAutospacing="1"/>
        <w:rPr>
          <w:rFonts w:eastAsia="Times New Roman" w:cs="Arial"/>
        </w:rPr>
      </w:pPr>
      <w:r w:rsidRPr="00701E9B">
        <w:rPr>
          <w:rFonts w:eastAsia="Times New Roman" w:cs="Arial"/>
        </w:rPr>
        <w:t xml:space="preserve">The City made Section 3 outreach efforts </w:t>
      </w:r>
      <w:r>
        <w:rPr>
          <w:rFonts w:eastAsia="Times New Roman" w:cs="Arial"/>
        </w:rPr>
        <w:t>at the City of Bowling Green Section 8 Office, Bowling Green Human Rights Commission, Housing Authority of Bowling Green, and in local newspaper bid advertisements to notify low income persons of CDBG contracting and labor opportunities.</w:t>
      </w:r>
    </w:p>
    <w:p w:rsidR="00A95F6B" w:rsidRPr="00701E9B" w:rsidRDefault="00A95F6B" w:rsidP="009D3546">
      <w:pPr>
        <w:widowControl w:val="0"/>
        <w:spacing w:beforeAutospacing="1" w:afterAutospacing="1"/>
        <w:rPr>
          <w:rFonts w:eastAsia="Times New Roman" w:cs="Arial"/>
        </w:rPr>
      </w:pPr>
      <w:r>
        <w:rPr>
          <w:rFonts w:eastAsia="Times New Roman" w:cs="Arial"/>
        </w:rPr>
        <w:t>Also the City partnered with a local public transit agency to provide the equivalent of six months of free public transit passes for LMI individuals gaining access to employment or employment related services.  32 individuals benefitted from this program.</w:t>
      </w:r>
    </w:p>
    <w:p w:rsidR="0011119D" w:rsidRDefault="00614B27">
      <w:pPr>
        <w:widowControl w:val="0"/>
        <w:rPr>
          <w:b/>
          <w:sz w:val="24"/>
          <w:szCs w:val="24"/>
        </w:rPr>
      </w:pPr>
      <w:r>
        <w:rPr>
          <w:b/>
          <w:sz w:val="24"/>
          <w:szCs w:val="24"/>
        </w:rPr>
        <w:t>Actions taken to develop institutional structure. 91.220(k); 91.320(j)</w:t>
      </w:r>
    </w:p>
    <w:p w:rsidR="009D3546" w:rsidRPr="007F4273" w:rsidRDefault="009D3546" w:rsidP="009D3546">
      <w:pPr>
        <w:widowControl w:val="0"/>
        <w:rPr>
          <w:rFonts w:eastAsia="Times New Roman"/>
          <w:bCs/>
        </w:rPr>
      </w:pPr>
      <w:r w:rsidRPr="007F4273">
        <w:rPr>
          <w:rFonts w:eastAsia="Times New Roman"/>
          <w:bCs/>
        </w:rPr>
        <w:t>Please see attachment 5.</w:t>
      </w:r>
    </w:p>
    <w:p w:rsidR="0011119D" w:rsidRDefault="00614B27">
      <w:pPr>
        <w:widowControl w:val="0"/>
        <w:rPr>
          <w:b/>
          <w:sz w:val="24"/>
          <w:szCs w:val="24"/>
        </w:rPr>
      </w:pPr>
      <w:r>
        <w:rPr>
          <w:b/>
          <w:sz w:val="24"/>
          <w:szCs w:val="24"/>
        </w:rPr>
        <w:t>Actions taken to enhance coordination between public and private housing and social service agencies. 91.220(k); 91.320(j)</w:t>
      </w:r>
    </w:p>
    <w:p w:rsidR="00397718" w:rsidRDefault="00397718" w:rsidP="00397718">
      <w:pPr>
        <w:widowControl w:val="0"/>
        <w:spacing w:before="100" w:beforeAutospacing="1" w:after="100" w:afterAutospacing="1" w:line="240" w:lineRule="auto"/>
        <w:rPr>
          <w:rFonts w:eastAsia="Times New Roman" w:cs="Arial"/>
        </w:rPr>
      </w:pPr>
      <w:r>
        <w:rPr>
          <w:rFonts w:eastAsia="Times New Roman" w:cs="Arial"/>
        </w:rPr>
        <w:t xml:space="preserve">During Year 13 the </w:t>
      </w:r>
      <w:proofErr w:type="spellStart"/>
      <w:r>
        <w:rPr>
          <w:rFonts w:eastAsia="Times New Roman" w:cs="Arial"/>
        </w:rPr>
        <w:t>the</w:t>
      </w:r>
      <w:proofErr w:type="spellEnd"/>
      <w:r>
        <w:rPr>
          <w:rFonts w:eastAsia="Times New Roman" w:cs="Arial"/>
        </w:rPr>
        <w:t xml:space="preserve"> City funded United Way of Southern Kentucky’s 2-1-1, a community resource navigation service that connects individuals and families to essential health and human services.  Under this new program, local residents seeking assistance dial 2-1-1 and reach a trained community referral specialist that provides contact information of local service providers for the type of assistance requested.  This is a new </w:t>
      </w:r>
      <w:r w:rsidR="00504EA1">
        <w:rPr>
          <w:rFonts w:eastAsia="Times New Roman" w:cs="Arial"/>
        </w:rPr>
        <w:t xml:space="preserve">approach in the City of enhancing coordination local housing and </w:t>
      </w:r>
      <w:proofErr w:type="spellStart"/>
      <w:r w:rsidR="00504EA1">
        <w:rPr>
          <w:rFonts w:eastAsia="Times New Roman" w:cs="Arial"/>
        </w:rPr>
        <w:t>sevice</w:t>
      </w:r>
      <w:proofErr w:type="spellEnd"/>
      <w:r w:rsidR="00504EA1">
        <w:rPr>
          <w:rFonts w:eastAsia="Times New Roman" w:cs="Arial"/>
        </w:rPr>
        <w:t xml:space="preserve"> agencies.</w:t>
      </w:r>
    </w:p>
    <w:p w:rsidR="009D3546" w:rsidRPr="00701E9B" w:rsidRDefault="00504EA1" w:rsidP="009D3546">
      <w:pPr>
        <w:widowControl w:val="0"/>
        <w:spacing w:beforeAutospacing="1" w:afterAutospacing="1"/>
        <w:rPr>
          <w:rFonts w:eastAsia="Times New Roman" w:cs="Arial"/>
        </w:rPr>
      </w:pPr>
      <w:r>
        <w:rPr>
          <w:rFonts w:eastAsia="Times New Roman" w:cs="Arial"/>
        </w:rPr>
        <w:t>Also d</w:t>
      </w:r>
      <w:r w:rsidR="009D3546" w:rsidRPr="00701E9B">
        <w:rPr>
          <w:rFonts w:eastAsia="Times New Roman" w:cs="Arial"/>
        </w:rPr>
        <w:t xml:space="preserve">uring each program year, the City continuously seeks ways to improve coordination with partnering agencies.  During the planning and implementation of projects and programs each year, the City learns of new ways to enhance coordination.  Actions taken to improve coordination include the following: </w:t>
      </w:r>
    </w:p>
    <w:p w:rsidR="009D3546" w:rsidRPr="00397718" w:rsidRDefault="009D3546" w:rsidP="00397718">
      <w:pPr>
        <w:pStyle w:val="ListParagraph"/>
        <w:widowControl w:val="0"/>
        <w:numPr>
          <w:ilvl w:val="0"/>
          <w:numId w:val="17"/>
        </w:numPr>
        <w:spacing w:after="0" w:line="240" w:lineRule="auto"/>
        <w:rPr>
          <w:rFonts w:eastAsia="Times New Roman" w:cs="Arial"/>
        </w:rPr>
      </w:pPr>
      <w:r w:rsidRPr="00397718">
        <w:rPr>
          <w:rFonts w:eastAsia="Times New Roman" w:cs="Arial"/>
        </w:rPr>
        <w:t>Inviting additional agencies to attend the annual CDBG Public Hearings.</w:t>
      </w:r>
    </w:p>
    <w:p w:rsidR="009D3546" w:rsidRPr="00701E9B" w:rsidRDefault="009D3546" w:rsidP="00397718">
      <w:pPr>
        <w:widowControl w:val="0"/>
        <w:numPr>
          <w:ilvl w:val="0"/>
          <w:numId w:val="3"/>
        </w:numPr>
        <w:spacing w:after="0" w:line="240" w:lineRule="auto"/>
        <w:rPr>
          <w:rFonts w:eastAsia="Times New Roman" w:cs="Arial"/>
        </w:rPr>
      </w:pPr>
      <w:r w:rsidRPr="00701E9B">
        <w:rPr>
          <w:rFonts w:eastAsia="Times New Roman" w:cs="Arial"/>
        </w:rPr>
        <w:t>Modifying the annual CDBG Workshop presentation to better inform area agencies of CDBG program requirements.</w:t>
      </w:r>
    </w:p>
    <w:p w:rsidR="009D3546" w:rsidRPr="00701E9B" w:rsidRDefault="009D3546" w:rsidP="00397718">
      <w:pPr>
        <w:widowControl w:val="0"/>
        <w:numPr>
          <w:ilvl w:val="0"/>
          <w:numId w:val="3"/>
        </w:numPr>
        <w:spacing w:after="0" w:line="240" w:lineRule="auto"/>
        <w:rPr>
          <w:rFonts w:eastAsia="Times New Roman" w:cs="Arial"/>
        </w:rPr>
      </w:pPr>
      <w:r w:rsidRPr="00701E9B">
        <w:rPr>
          <w:rFonts w:eastAsia="Times New Roman" w:cs="Arial"/>
        </w:rPr>
        <w:t>Seek additional input from area agencies on needs in the community and challenges in providing services in compliance with CDBG program requirements.</w:t>
      </w:r>
    </w:p>
    <w:p w:rsidR="009D3546" w:rsidRPr="00701E9B" w:rsidRDefault="009D3546" w:rsidP="00397718">
      <w:pPr>
        <w:widowControl w:val="0"/>
        <w:numPr>
          <w:ilvl w:val="0"/>
          <w:numId w:val="3"/>
        </w:numPr>
        <w:spacing w:after="0" w:line="240" w:lineRule="auto"/>
        <w:rPr>
          <w:rFonts w:eastAsia="Times New Roman" w:cs="Arial"/>
        </w:rPr>
      </w:pPr>
      <w:r w:rsidRPr="00701E9B">
        <w:rPr>
          <w:rFonts w:eastAsia="Times New Roman" w:cs="Arial"/>
        </w:rPr>
        <w:t>Informing area agencies of the City’s CDBG funding priorities and initiatives to solicit partnerships, and avoid duplication and overlap of services.</w:t>
      </w:r>
    </w:p>
    <w:p w:rsidR="009D3546" w:rsidRPr="00701E9B" w:rsidRDefault="009D3546" w:rsidP="00397718">
      <w:pPr>
        <w:widowControl w:val="0"/>
        <w:numPr>
          <w:ilvl w:val="0"/>
          <w:numId w:val="3"/>
        </w:numPr>
        <w:spacing w:after="0" w:line="240" w:lineRule="auto"/>
        <w:rPr>
          <w:rFonts w:eastAsia="Times New Roman" w:cs="Arial"/>
        </w:rPr>
      </w:pPr>
      <w:r w:rsidRPr="00701E9B">
        <w:rPr>
          <w:rFonts w:eastAsia="Times New Roman" w:cs="Arial"/>
        </w:rPr>
        <w:t>Provide greater technical assistance to agencies in need.</w:t>
      </w:r>
    </w:p>
    <w:p w:rsidR="009D3546" w:rsidRPr="00701E9B" w:rsidRDefault="009D3546" w:rsidP="00397718">
      <w:pPr>
        <w:widowControl w:val="0"/>
        <w:numPr>
          <w:ilvl w:val="0"/>
          <w:numId w:val="3"/>
        </w:numPr>
        <w:spacing w:after="0" w:line="240" w:lineRule="auto"/>
        <w:rPr>
          <w:rFonts w:eastAsia="Times New Roman" w:cs="Arial"/>
        </w:rPr>
      </w:pPr>
      <w:r w:rsidRPr="00701E9B">
        <w:rPr>
          <w:rFonts w:eastAsia="Times New Roman" w:cs="Arial"/>
        </w:rPr>
        <w:t xml:space="preserve">Update Policies and Procedures, and </w:t>
      </w:r>
      <w:proofErr w:type="spellStart"/>
      <w:r w:rsidRPr="00701E9B">
        <w:rPr>
          <w:rFonts w:eastAsia="Times New Roman" w:cs="Arial"/>
        </w:rPr>
        <w:t>Subrecipient</w:t>
      </w:r>
      <w:proofErr w:type="spellEnd"/>
      <w:r w:rsidRPr="00701E9B">
        <w:rPr>
          <w:rFonts w:eastAsia="Times New Roman" w:cs="Arial"/>
        </w:rPr>
        <w:t xml:space="preserve"> Agreements to improve coordination and maximize efficiencies.      </w:t>
      </w:r>
    </w:p>
    <w:p w:rsidR="009D3546" w:rsidRDefault="009D3546" w:rsidP="00397718">
      <w:pPr>
        <w:widowControl w:val="0"/>
        <w:numPr>
          <w:ilvl w:val="0"/>
          <w:numId w:val="3"/>
        </w:numPr>
        <w:spacing w:after="0" w:line="240" w:lineRule="auto"/>
        <w:rPr>
          <w:rFonts w:eastAsia="Times New Roman" w:cs="Arial"/>
        </w:rPr>
      </w:pPr>
      <w:r w:rsidRPr="00701E9B">
        <w:rPr>
          <w:rFonts w:eastAsia="Times New Roman" w:cs="Arial"/>
        </w:rPr>
        <w:t>Develop plans and strategies to gain greater flexibility within the CDBG requirements to adequately address neighborhood needs.</w:t>
      </w:r>
    </w:p>
    <w:p w:rsidR="00504EA1" w:rsidRPr="00701E9B" w:rsidRDefault="00504EA1" w:rsidP="00504EA1">
      <w:pPr>
        <w:widowControl w:val="0"/>
        <w:spacing w:after="0" w:line="240" w:lineRule="auto"/>
        <w:ind w:left="720"/>
        <w:rPr>
          <w:rFonts w:eastAsia="Times New Roman" w:cs="Arial"/>
        </w:rPr>
      </w:pPr>
    </w:p>
    <w:p w:rsidR="0011119D" w:rsidRDefault="00614B27">
      <w:pPr>
        <w:widowControl w:val="0"/>
        <w:rPr>
          <w:b/>
          <w:sz w:val="24"/>
          <w:szCs w:val="24"/>
        </w:rPr>
      </w:pPr>
      <w:r>
        <w:rPr>
          <w:b/>
          <w:sz w:val="24"/>
          <w:szCs w:val="24"/>
        </w:rPr>
        <w:t>Identify actions taken to overcome the effects of any impediments identified in the jurisdictions analysis of impediments to fair housing choice.  91.520(a)</w:t>
      </w:r>
    </w:p>
    <w:p w:rsidR="00504EA1" w:rsidRPr="00701E9B" w:rsidRDefault="00504EA1" w:rsidP="00504EA1">
      <w:pPr>
        <w:widowControl w:val="0"/>
        <w:spacing w:beforeAutospacing="1" w:afterAutospacing="1"/>
        <w:rPr>
          <w:rFonts w:eastAsia="Times New Roman" w:cs="Arial"/>
        </w:rPr>
      </w:pPr>
      <w:r w:rsidRPr="00701E9B">
        <w:rPr>
          <w:rFonts w:eastAsia="Times New Roman" w:cs="Arial"/>
        </w:rPr>
        <w:t>To overcome the effects of the impediments identified in the City’s analysis of impediments to fair housing, the City partners with the Bowling Green Human Rights Commission (BGHRC) to development and implement a fair housing education and outreach program. </w:t>
      </w:r>
    </w:p>
    <w:p w:rsidR="00504EA1" w:rsidRPr="00701E9B" w:rsidRDefault="00504EA1" w:rsidP="00504EA1">
      <w:pPr>
        <w:widowControl w:val="0"/>
        <w:spacing w:beforeAutospacing="1" w:afterAutospacing="1"/>
        <w:rPr>
          <w:rFonts w:eastAsia="Times New Roman" w:cs="Arial"/>
        </w:rPr>
      </w:pPr>
      <w:r w:rsidRPr="00701E9B">
        <w:rPr>
          <w:rFonts w:eastAsia="Times New Roman" w:cs="Arial"/>
        </w:rPr>
        <w:t>Under this partnership, the BGHRC annually conducts workshops and presentations that targets specific groups and members of the protected classes, and service providers to the protected classes.  The service providers include landlords, lenders, builders, realtors, and community organizations.  Outreach efforts are also provided through quarterly newsletters sent to the aforementioned service providers, and from information booths at forums, fairs, and other venues.  Annually in April, the BGHRC hosts a Fair Housing event to highlight Fair Housing Month.  The BGHRC also provides general information to fair housing inquiries, and assists citizens in filing and resolving housing discrimination complaints through mediation, education, and counseling.  </w:t>
      </w:r>
    </w:p>
    <w:p w:rsidR="00504EA1" w:rsidRPr="00701E9B" w:rsidRDefault="00504EA1" w:rsidP="00504EA1">
      <w:pPr>
        <w:widowControl w:val="0"/>
        <w:spacing w:beforeAutospacing="1" w:afterAutospacing="1"/>
        <w:rPr>
          <w:rFonts w:eastAsia="Times New Roman" w:cs="Arial"/>
        </w:rPr>
      </w:pPr>
      <w:r w:rsidRPr="00701E9B">
        <w:rPr>
          <w:rFonts w:eastAsia="Times New Roman" w:cs="Arial"/>
        </w:rPr>
        <w:t> To overcome language and cultural differences, the City’s International Communities Liaison works with individual members and groups of the international community to assist with obtaining access to available services.  The International Communities Liaison also works with service providers to better assist the intern</w:t>
      </w:r>
      <w:r>
        <w:rPr>
          <w:rFonts w:eastAsia="Times New Roman" w:cs="Arial"/>
        </w:rPr>
        <w:t>ational community.</w:t>
      </w:r>
    </w:p>
    <w:p w:rsidR="00504EA1" w:rsidRPr="00701E9B" w:rsidRDefault="00504EA1" w:rsidP="00504EA1">
      <w:pPr>
        <w:widowControl w:val="0"/>
        <w:spacing w:beforeAutospacing="1" w:afterAutospacing="1"/>
        <w:rPr>
          <w:rFonts w:eastAsia="Times New Roman" w:cs="Arial"/>
        </w:rPr>
      </w:pPr>
      <w:r w:rsidRPr="00701E9B">
        <w:rPr>
          <w:rFonts w:eastAsia="Times New Roman" w:cs="Arial"/>
        </w:rPr>
        <w:t>The City has offered assistance to providers offering transition services to persons exiting incarceration and will continue to make efforts to partner in that endeavor.</w:t>
      </w:r>
    </w:p>
    <w:p w:rsidR="00504EA1" w:rsidRDefault="00504EA1">
      <w:pPr>
        <w:widowControl w:val="0"/>
        <w:rPr>
          <w:b/>
          <w:sz w:val="24"/>
          <w:szCs w:val="24"/>
        </w:rPr>
      </w:pPr>
    </w:p>
    <w:p w:rsidR="0011119D" w:rsidRDefault="00614B27">
      <w:pPr>
        <w:pStyle w:val="Heading2"/>
        <w:pageBreakBefore/>
        <w:widowControl w:val="0"/>
        <w:rPr>
          <w:rFonts w:ascii="Calibri" w:hAnsi="Calibri"/>
          <w:i w:val="0"/>
        </w:rPr>
      </w:pPr>
      <w:r>
        <w:rPr>
          <w:rFonts w:ascii="Calibri" w:hAnsi="Calibri"/>
          <w:i w:val="0"/>
        </w:rPr>
        <w:t>CR-40 - Monitoring 91.220 and 91.230</w:t>
      </w:r>
    </w:p>
    <w:p w:rsidR="0011119D" w:rsidRDefault="00614B27">
      <w:pPr>
        <w:widowControl w:val="0"/>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rsidR="000C7B92" w:rsidRPr="00701E9B" w:rsidRDefault="000C7B92" w:rsidP="000C7B92">
      <w:pPr>
        <w:widowControl w:val="0"/>
        <w:spacing w:beforeAutospacing="1" w:afterAutospacing="1"/>
        <w:rPr>
          <w:rFonts w:eastAsia="Times New Roman" w:cs="Arial"/>
        </w:rPr>
      </w:pPr>
      <w:r w:rsidRPr="00701E9B">
        <w:rPr>
          <w:rFonts w:eastAsia="Times New Roman" w:cs="Arial"/>
        </w:rPr>
        <w:t xml:space="preserve">The Department of Neighborhood and Community Services of the City of </w:t>
      </w:r>
      <w:smartTag w:uri="urn:schemas-microsoft-com:office:smarttags" w:element="City">
        <w:smartTag w:uri="urn:schemas-microsoft-com:office:smarttags" w:element="place">
          <w:r w:rsidRPr="00701E9B">
            <w:rPr>
              <w:rFonts w:eastAsia="Times New Roman" w:cs="Arial"/>
            </w:rPr>
            <w:t>Bowling Green</w:t>
          </w:r>
        </w:smartTag>
      </w:smartTag>
      <w:r w:rsidRPr="00701E9B">
        <w:rPr>
          <w:rFonts w:eastAsia="Times New Roman" w:cs="Arial"/>
        </w:rPr>
        <w:t xml:space="preserve"> is responsible for the administration of the CDBG program.  NCS staff prepares the 5 year Consolidated plan, the Annual Action Plan and the CAPER.  NCS staff uses HUD’s Integrated Data Information system (IDIS) and the City’s </w:t>
      </w:r>
      <w:smartTag w:uri="urn:schemas-microsoft-com:office:smarttags" w:element="place">
        <w:r w:rsidRPr="00701E9B">
          <w:rPr>
            <w:rFonts w:eastAsia="Times New Roman" w:cs="Arial"/>
          </w:rPr>
          <w:t>New World</w:t>
        </w:r>
      </w:smartTag>
      <w:r w:rsidRPr="00701E9B">
        <w:rPr>
          <w:rFonts w:eastAsia="Times New Roman" w:cs="Arial"/>
        </w:rPr>
        <w:t xml:space="preserve"> financial software to manage both financial aspects of the program and the performance of the program.</w:t>
      </w:r>
    </w:p>
    <w:p w:rsidR="000C7B92" w:rsidRPr="00701E9B" w:rsidRDefault="000C7B92" w:rsidP="000C7B92">
      <w:pPr>
        <w:widowControl w:val="0"/>
        <w:spacing w:beforeAutospacing="1" w:afterAutospacing="1"/>
        <w:rPr>
          <w:rFonts w:eastAsia="Times New Roman" w:cs="Arial"/>
        </w:rPr>
      </w:pPr>
      <w:r w:rsidRPr="00701E9B">
        <w:rPr>
          <w:rFonts w:eastAsia="Times New Roman" w:cs="Arial"/>
        </w:rPr>
        <w:t xml:space="preserve">All </w:t>
      </w:r>
      <w:proofErr w:type="spellStart"/>
      <w:r w:rsidRPr="00701E9B">
        <w:rPr>
          <w:rFonts w:eastAsia="Times New Roman" w:cs="Arial"/>
        </w:rPr>
        <w:t>subrecipients</w:t>
      </w:r>
      <w:proofErr w:type="spellEnd"/>
      <w:r w:rsidRPr="00701E9B">
        <w:rPr>
          <w:rFonts w:eastAsia="Times New Roman" w:cs="Arial"/>
        </w:rPr>
        <w:t xml:space="preserve"> must enter into a written agreement prior to release of funds from the City or any project activity by the </w:t>
      </w:r>
      <w:proofErr w:type="spellStart"/>
      <w:r w:rsidRPr="00701E9B">
        <w:rPr>
          <w:rFonts w:eastAsia="Times New Roman" w:cs="Arial"/>
        </w:rPr>
        <w:t>Subrecipient</w:t>
      </w:r>
      <w:proofErr w:type="spellEnd"/>
      <w:r w:rsidRPr="00701E9B">
        <w:rPr>
          <w:rFonts w:eastAsia="Times New Roman" w:cs="Arial"/>
        </w:rPr>
        <w:t xml:space="preserve">; this agreement must also receive formal approval by the City Commission. The agreement sets forth the proposed activities of the program and the responsibilities of both the </w:t>
      </w:r>
      <w:proofErr w:type="spellStart"/>
      <w:r w:rsidRPr="00701E9B">
        <w:rPr>
          <w:rFonts w:eastAsia="Times New Roman" w:cs="Arial"/>
        </w:rPr>
        <w:t>Subrecipient</w:t>
      </w:r>
      <w:proofErr w:type="spellEnd"/>
      <w:r w:rsidRPr="00701E9B">
        <w:rPr>
          <w:rFonts w:eastAsia="Times New Roman" w:cs="Arial"/>
        </w:rPr>
        <w:t xml:space="preserve"> and the City, particularly with respect to CDBG regulations. Staff conducts an on-site meeting with the </w:t>
      </w:r>
      <w:proofErr w:type="spellStart"/>
      <w:r w:rsidRPr="00701E9B">
        <w:rPr>
          <w:rFonts w:eastAsia="Times New Roman" w:cs="Arial"/>
        </w:rPr>
        <w:t>subrecipient’s</w:t>
      </w:r>
      <w:proofErr w:type="spellEnd"/>
      <w:r w:rsidRPr="00701E9B">
        <w:rPr>
          <w:rFonts w:eastAsia="Times New Roman" w:cs="Arial"/>
        </w:rPr>
        <w:t xml:space="preserve"> key staff to review the agreement prior to approval.   Any necessary clarifications of requirements are handled at that time.  For </w:t>
      </w:r>
      <w:proofErr w:type="spellStart"/>
      <w:r w:rsidRPr="00701E9B">
        <w:rPr>
          <w:rFonts w:eastAsia="Times New Roman" w:cs="Arial"/>
        </w:rPr>
        <w:t>subrecipients</w:t>
      </w:r>
      <w:proofErr w:type="spellEnd"/>
      <w:r w:rsidRPr="00701E9B">
        <w:rPr>
          <w:rFonts w:eastAsia="Times New Roman" w:cs="Arial"/>
        </w:rPr>
        <w:t xml:space="preserve"> procuring construction services, the City provides a packet of ‘Contractor Requirements’ which outlines CDBG requirements including minority business outreach.</w:t>
      </w:r>
    </w:p>
    <w:p w:rsidR="000C7B92" w:rsidRPr="00701E9B" w:rsidRDefault="000C7B92" w:rsidP="000C7B92">
      <w:pPr>
        <w:widowControl w:val="0"/>
        <w:spacing w:beforeAutospacing="1" w:afterAutospacing="1"/>
        <w:rPr>
          <w:rFonts w:eastAsia="Times New Roman" w:cs="Arial"/>
        </w:rPr>
      </w:pPr>
      <w:r w:rsidRPr="00701E9B">
        <w:rPr>
          <w:rFonts w:eastAsia="Times New Roman" w:cs="Arial"/>
        </w:rPr>
        <w:t xml:space="preserve">To receive reimbursement of expenditures from the City, each </w:t>
      </w:r>
      <w:proofErr w:type="spellStart"/>
      <w:r w:rsidRPr="00701E9B">
        <w:rPr>
          <w:rFonts w:eastAsia="Times New Roman" w:cs="Arial"/>
        </w:rPr>
        <w:t>Subrecipient</w:t>
      </w:r>
      <w:proofErr w:type="spellEnd"/>
      <w:r w:rsidRPr="00701E9B">
        <w:rPr>
          <w:rFonts w:eastAsia="Times New Roman" w:cs="Arial"/>
        </w:rPr>
        <w:t xml:space="preserve"> must provide proper documentation, including </w:t>
      </w:r>
      <w:r>
        <w:rPr>
          <w:rFonts w:eastAsia="Times New Roman" w:cs="Arial"/>
        </w:rPr>
        <w:t xml:space="preserve">a </w:t>
      </w:r>
      <w:r w:rsidRPr="00701E9B">
        <w:rPr>
          <w:rFonts w:eastAsia="Times New Roman" w:cs="Arial"/>
        </w:rPr>
        <w:t xml:space="preserve">monthly report of activity, copies of invoices, and a request for payment.  NCS staff verifies the invoice and documentation and processes for payment.  As part of this verification process, a desk audit of each </w:t>
      </w:r>
      <w:proofErr w:type="spellStart"/>
      <w:r w:rsidRPr="00701E9B">
        <w:rPr>
          <w:rFonts w:eastAsia="Times New Roman" w:cs="Arial"/>
        </w:rPr>
        <w:t>Subrecipient</w:t>
      </w:r>
      <w:proofErr w:type="spellEnd"/>
      <w:r w:rsidRPr="00701E9B">
        <w:rPr>
          <w:rFonts w:eastAsia="Times New Roman" w:cs="Arial"/>
        </w:rPr>
        <w:t xml:space="preserve"> program is performed monthly, including a review of all activities undertaken with CDBG funds and determination of expense eligibility, to ensure that all programming and expenditures are within the parameters set in the written agreement and the regulations of the  CDBG program.  Immediate action is taken in the event there are discrepancies with the </w:t>
      </w:r>
      <w:proofErr w:type="spellStart"/>
      <w:r w:rsidRPr="00701E9B">
        <w:rPr>
          <w:rFonts w:eastAsia="Times New Roman" w:cs="Arial"/>
        </w:rPr>
        <w:t>subrecipient’s</w:t>
      </w:r>
      <w:proofErr w:type="spellEnd"/>
      <w:r w:rsidRPr="00701E9B">
        <w:rPr>
          <w:rFonts w:eastAsia="Times New Roman" w:cs="Arial"/>
        </w:rPr>
        <w:t xml:space="preserve"> programming or expenditures, including contacting the </w:t>
      </w:r>
      <w:proofErr w:type="spellStart"/>
      <w:r w:rsidRPr="00701E9B">
        <w:rPr>
          <w:rFonts w:eastAsia="Times New Roman" w:cs="Arial"/>
        </w:rPr>
        <w:t>subrecipient</w:t>
      </w:r>
      <w:proofErr w:type="spellEnd"/>
      <w:r w:rsidRPr="00701E9B">
        <w:rPr>
          <w:rFonts w:eastAsia="Times New Roman" w:cs="Arial"/>
        </w:rPr>
        <w:t xml:space="preserve"> by telephone, electronic mail, or through a more comprehensive site visit.  If there are unusual situations or problems identified through a desk review, NCS will schedule a field monitoring visit with the </w:t>
      </w:r>
      <w:proofErr w:type="spellStart"/>
      <w:r w:rsidRPr="00701E9B">
        <w:rPr>
          <w:rFonts w:eastAsia="Times New Roman" w:cs="Arial"/>
        </w:rPr>
        <w:t>Subrecipient</w:t>
      </w:r>
      <w:proofErr w:type="spellEnd"/>
      <w:r w:rsidRPr="00701E9B">
        <w:rPr>
          <w:rFonts w:eastAsia="Times New Roman" w:cs="Arial"/>
        </w:rPr>
        <w:t>. </w:t>
      </w:r>
    </w:p>
    <w:p w:rsidR="000C7B92" w:rsidRPr="00701E9B" w:rsidRDefault="000C7B92" w:rsidP="000C7B92">
      <w:pPr>
        <w:widowControl w:val="0"/>
        <w:spacing w:beforeAutospacing="1" w:afterAutospacing="1"/>
        <w:rPr>
          <w:rFonts w:eastAsia="Times New Roman" w:cs="Arial"/>
        </w:rPr>
      </w:pPr>
      <w:r>
        <w:rPr>
          <w:rFonts w:eastAsia="Times New Roman" w:cs="Arial"/>
        </w:rPr>
        <w:t>For the past seven</w:t>
      </w:r>
      <w:r w:rsidRPr="00701E9B">
        <w:rPr>
          <w:rFonts w:eastAsia="Times New Roman" w:cs="Arial"/>
        </w:rPr>
        <w:t xml:space="preserve"> years, staff has held a CDBG Basics Workshop before the application process begins.  The workshop outlines the history, use, and rules of the CDBG program.  This was the first opportunity many of our Grantee’s have had to learn the scope of the CDBG program.  </w:t>
      </w:r>
      <w:r>
        <w:rPr>
          <w:rFonts w:eastAsia="Times New Roman" w:cs="Arial"/>
        </w:rPr>
        <w:t>In the spring and summer of 2017</w:t>
      </w:r>
      <w:r w:rsidRPr="00701E9B">
        <w:rPr>
          <w:rFonts w:eastAsia="Times New Roman" w:cs="Arial"/>
        </w:rPr>
        <w:t>, staff completed on-site reviews in conjunction with meeting with grantees about the process for Year 1</w:t>
      </w:r>
      <w:r>
        <w:rPr>
          <w:rFonts w:eastAsia="Times New Roman" w:cs="Arial"/>
        </w:rPr>
        <w:t>3</w:t>
      </w:r>
      <w:r w:rsidRPr="00701E9B">
        <w:rPr>
          <w:rFonts w:eastAsia="Times New Roman" w:cs="Arial"/>
        </w:rPr>
        <w:t xml:space="preserve"> funding.  There were no significant findings in any of the on-site reviews.  Reviews followed the Cities CDBG Monitoring Checklist and a completed copy and closeout letter was mailed to each </w:t>
      </w:r>
      <w:proofErr w:type="spellStart"/>
      <w:r w:rsidRPr="00701E9B">
        <w:rPr>
          <w:rFonts w:eastAsia="Times New Roman" w:cs="Arial"/>
        </w:rPr>
        <w:t>subrecipient</w:t>
      </w:r>
      <w:proofErr w:type="spellEnd"/>
      <w:r w:rsidRPr="00701E9B">
        <w:rPr>
          <w:rFonts w:eastAsia="Times New Roman" w:cs="Arial"/>
        </w:rPr>
        <w:t xml:space="preserve">.  In addition the City obtained single audits from each applicable </w:t>
      </w:r>
      <w:proofErr w:type="spellStart"/>
      <w:r w:rsidRPr="00701E9B">
        <w:rPr>
          <w:rFonts w:eastAsia="Times New Roman" w:cs="Arial"/>
        </w:rPr>
        <w:t>subrecipient</w:t>
      </w:r>
      <w:proofErr w:type="spellEnd"/>
      <w:r w:rsidRPr="00701E9B">
        <w:rPr>
          <w:rFonts w:eastAsia="Times New Roman" w:cs="Arial"/>
        </w:rPr>
        <w:t>. </w:t>
      </w:r>
    </w:p>
    <w:p w:rsidR="000C7B92" w:rsidRPr="00701E9B" w:rsidRDefault="000C7B92" w:rsidP="000C7B92">
      <w:pPr>
        <w:widowControl w:val="0"/>
        <w:spacing w:beforeAutospacing="1" w:afterAutospacing="1"/>
        <w:rPr>
          <w:rFonts w:eastAsia="Times New Roman" w:cs="Arial"/>
        </w:rPr>
      </w:pPr>
      <w:r>
        <w:rPr>
          <w:rFonts w:eastAsia="Times New Roman" w:cs="Arial"/>
        </w:rPr>
        <w:t>CDBG Year 13</w:t>
      </w:r>
      <w:r w:rsidRPr="00701E9B">
        <w:rPr>
          <w:rFonts w:eastAsia="Times New Roman" w:cs="Arial"/>
        </w:rPr>
        <w:t xml:space="preserve"> funds primarily targeted the Bowling Green Reinvestment Area (BGRA).  Thus far 30% of the Year funds have been expended thro</w:t>
      </w:r>
      <w:r>
        <w:rPr>
          <w:rFonts w:eastAsia="Times New Roman" w:cs="Arial"/>
        </w:rPr>
        <w:t>ugh public services, programs, and administration</w:t>
      </w:r>
      <w:r w:rsidRPr="00701E9B">
        <w:rPr>
          <w:rFonts w:eastAsia="Times New Roman" w:cs="Arial"/>
        </w:rPr>
        <w:t>.  The remaining fun</w:t>
      </w:r>
      <w:r>
        <w:rPr>
          <w:rFonts w:eastAsia="Times New Roman" w:cs="Arial"/>
        </w:rPr>
        <w:t>ding will be expended in Year 14</w:t>
      </w:r>
      <w:r w:rsidRPr="00701E9B">
        <w:rPr>
          <w:rFonts w:eastAsia="Times New Roman" w:cs="Arial"/>
        </w:rPr>
        <w:t xml:space="preserve"> towards the Neighborhood Improvements Program in</w:t>
      </w:r>
      <w:r w:rsidR="00234CE3">
        <w:rPr>
          <w:rFonts w:eastAsia="Times New Roman" w:cs="Arial"/>
        </w:rPr>
        <w:t xml:space="preserve"> Census Tract 112 of</w:t>
      </w:r>
      <w:r w:rsidRPr="00701E9B">
        <w:rPr>
          <w:rFonts w:eastAsia="Times New Roman" w:cs="Arial"/>
        </w:rPr>
        <w:t xml:space="preserve"> the BGRA.  The BGRA has the greatest concentration of Low/Moderate Income households and the greatest ethnic and racial diversity.  According to HUD statistics, nearly 80 percent of persons in the BGRA are </w:t>
      </w:r>
      <w:proofErr w:type="spellStart"/>
      <w:r w:rsidRPr="00701E9B">
        <w:rPr>
          <w:rFonts w:eastAsia="Times New Roman" w:cs="Arial"/>
        </w:rPr>
        <w:t>are</w:t>
      </w:r>
      <w:proofErr w:type="spellEnd"/>
      <w:r w:rsidRPr="00701E9B">
        <w:rPr>
          <w:rFonts w:eastAsia="Times New Roman" w:cs="Arial"/>
        </w:rPr>
        <w:t xml:space="preserve"> Low/Moderate Income. </w:t>
      </w:r>
    </w:p>
    <w:p w:rsidR="0011119D" w:rsidRDefault="00614B27">
      <w:pPr>
        <w:widowControl w:val="0"/>
        <w:rPr>
          <w:b/>
          <w:sz w:val="24"/>
          <w:szCs w:val="24"/>
        </w:rPr>
      </w:pPr>
      <w:r>
        <w:rPr>
          <w:b/>
          <w:sz w:val="24"/>
          <w:szCs w:val="24"/>
        </w:rPr>
        <w:t>Citizen Participation Plan 91.105(d); 91.115(d)</w:t>
      </w:r>
    </w:p>
    <w:p w:rsidR="0011119D" w:rsidRDefault="00614B27">
      <w:pPr>
        <w:widowControl w:val="0"/>
        <w:rPr>
          <w:sz w:val="24"/>
          <w:szCs w:val="24"/>
        </w:rPr>
      </w:pPr>
      <w:r>
        <w:rPr>
          <w:b/>
          <w:sz w:val="24"/>
          <w:szCs w:val="24"/>
        </w:rPr>
        <w:t>Describe the efforts to provide citizens with reasonable notice and an opportunity to comment on performance reports</w:t>
      </w:r>
      <w:r>
        <w:rPr>
          <w:sz w:val="24"/>
          <w:szCs w:val="24"/>
        </w:rPr>
        <w:t>.</w:t>
      </w:r>
    </w:p>
    <w:p w:rsidR="00504EA1" w:rsidRPr="00701E9B" w:rsidRDefault="00504EA1" w:rsidP="00504EA1">
      <w:pPr>
        <w:widowControl w:val="0"/>
        <w:spacing w:beforeAutospacing="1" w:afterAutospacing="1"/>
        <w:rPr>
          <w:rFonts w:eastAsia="Times New Roman" w:cs="Arial"/>
        </w:rPr>
      </w:pPr>
      <w:r w:rsidRPr="00701E9B">
        <w:rPr>
          <w:rFonts w:eastAsia="Times New Roman" w:cs="Arial"/>
        </w:rPr>
        <w:t xml:space="preserve">The City of </w:t>
      </w:r>
      <w:smartTag w:uri="urn:schemas-microsoft-com:office:smarttags" w:element="City">
        <w:smartTag w:uri="urn:schemas-microsoft-com:office:smarttags" w:element="place">
          <w:r w:rsidRPr="00701E9B">
            <w:rPr>
              <w:rFonts w:eastAsia="Times New Roman" w:cs="Arial"/>
            </w:rPr>
            <w:t>Bowling Green</w:t>
          </w:r>
        </w:smartTag>
      </w:smartTag>
      <w:r w:rsidRPr="00701E9B">
        <w:rPr>
          <w:rFonts w:eastAsia="Times New Roman" w:cs="Arial"/>
        </w:rPr>
        <w:t xml:space="preserve"> began the </w:t>
      </w:r>
      <w:r w:rsidR="00666429">
        <w:rPr>
          <w:rFonts w:eastAsia="Times New Roman" w:cs="Arial"/>
        </w:rPr>
        <w:t>planning process for the Year 13</w:t>
      </w:r>
      <w:r w:rsidRPr="00701E9B">
        <w:rPr>
          <w:rFonts w:eastAsia="Times New Roman" w:cs="Arial"/>
        </w:rPr>
        <w:t xml:space="preserve"> Annual Plan wit</w:t>
      </w:r>
      <w:r w:rsidR="00666429">
        <w:rPr>
          <w:rFonts w:eastAsia="Times New Roman" w:cs="Arial"/>
        </w:rPr>
        <w:t>h a public hearing on January 19, 2016</w:t>
      </w:r>
      <w:r w:rsidRPr="00701E9B">
        <w:rPr>
          <w:rFonts w:eastAsia="Times New Roman" w:cs="Arial"/>
        </w:rPr>
        <w:t>.  The Public Notice for the public hearing was published in th</w:t>
      </w:r>
      <w:r w:rsidR="00666429">
        <w:rPr>
          <w:rFonts w:eastAsia="Times New Roman" w:cs="Arial"/>
        </w:rPr>
        <w:t>e local newspaper on December 29, 2015</w:t>
      </w:r>
      <w:r w:rsidRPr="00701E9B">
        <w:rPr>
          <w:rFonts w:eastAsia="Times New Roman" w:cs="Arial"/>
        </w:rPr>
        <w:t xml:space="preserve"> and January 6, 201</w:t>
      </w:r>
      <w:r w:rsidR="00666429">
        <w:rPr>
          <w:rFonts w:eastAsia="Times New Roman" w:cs="Arial"/>
        </w:rPr>
        <w:t>6</w:t>
      </w:r>
      <w:r w:rsidRPr="00701E9B">
        <w:rPr>
          <w:rFonts w:eastAsia="Times New Roman" w:cs="Arial"/>
        </w:rPr>
        <w:t xml:space="preserve">.  Previous </w:t>
      </w:r>
      <w:proofErr w:type="spellStart"/>
      <w:r w:rsidRPr="00701E9B">
        <w:rPr>
          <w:rFonts w:eastAsia="Times New Roman" w:cs="Arial"/>
        </w:rPr>
        <w:t>subrecipients</w:t>
      </w:r>
      <w:proofErr w:type="spellEnd"/>
      <w:r w:rsidRPr="00701E9B">
        <w:rPr>
          <w:rFonts w:eastAsia="Times New Roman" w:cs="Arial"/>
        </w:rPr>
        <w:t xml:space="preserve"> and other partners were also notified of the hearing.  The hearing was held at the City Commission chambers in City Hall, primarily due to its accessibility and well-known location.  Because some individuals may not be able to attend the hearing, or do not wish to speak in public, written comments were </w:t>
      </w:r>
      <w:r w:rsidR="00666429">
        <w:rPr>
          <w:rFonts w:eastAsia="Times New Roman" w:cs="Arial"/>
        </w:rPr>
        <w:t>also accepted through January 28</w:t>
      </w:r>
      <w:r w:rsidRPr="00701E9B">
        <w:rPr>
          <w:rFonts w:eastAsia="Times New Roman" w:cs="Arial"/>
        </w:rPr>
        <w:t>, 201</w:t>
      </w:r>
      <w:r w:rsidR="00666429">
        <w:rPr>
          <w:rFonts w:eastAsia="Times New Roman" w:cs="Arial"/>
        </w:rPr>
        <w:t>6</w:t>
      </w:r>
      <w:r w:rsidRPr="00701E9B">
        <w:rPr>
          <w:rFonts w:eastAsia="Times New Roman" w:cs="Arial"/>
        </w:rPr>
        <w:t xml:space="preserve"> as advertised.</w:t>
      </w:r>
    </w:p>
    <w:p w:rsidR="00504EA1" w:rsidRPr="00701E9B" w:rsidRDefault="00666429" w:rsidP="00504EA1">
      <w:pPr>
        <w:widowControl w:val="0"/>
        <w:spacing w:beforeAutospacing="1" w:afterAutospacing="1"/>
        <w:rPr>
          <w:rFonts w:eastAsia="Times New Roman" w:cs="Arial"/>
        </w:rPr>
      </w:pPr>
      <w:r>
        <w:rPr>
          <w:rFonts w:eastAsia="Times New Roman" w:cs="Arial"/>
        </w:rPr>
        <w:t>The purpose of the January 19, 2016</w:t>
      </w:r>
      <w:r w:rsidR="00504EA1" w:rsidRPr="00701E9B">
        <w:rPr>
          <w:rFonts w:eastAsia="Times New Roman" w:cs="Arial"/>
        </w:rPr>
        <w:t xml:space="preserve"> meeting was to review past performance of the CDBG program and to obtain citizen’s views on housing and community development needs in </w:t>
      </w:r>
      <w:proofErr w:type="gramStart"/>
      <w:r w:rsidR="00504EA1" w:rsidRPr="00701E9B">
        <w:rPr>
          <w:rFonts w:eastAsia="Times New Roman" w:cs="Arial"/>
        </w:rPr>
        <w:t>Bowling Green</w:t>
      </w:r>
      <w:proofErr w:type="gramEnd"/>
      <w:r w:rsidR="00504EA1" w:rsidRPr="00701E9B">
        <w:rPr>
          <w:rFonts w:eastAsia="Times New Roman" w:cs="Arial"/>
        </w:rPr>
        <w:t>.  City staff reviewed the principles and past activities of the CDBG program. </w:t>
      </w:r>
    </w:p>
    <w:p w:rsidR="00504EA1" w:rsidRPr="00701E9B" w:rsidRDefault="00504EA1" w:rsidP="00504EA1">
      <w:pPr>
        <w:widowControl w:val="0"/>
        <w:spacing w:beforeAutospacing="1" w:afterAutospacing="1"/>
        <w:rPr>
          <w:rFonts w:eastAsia="Times New Roman" w:cs="Arial"/>
        </w:rPr>
      </w:pPr>
      <w:r w:rsidRPr="00701E9B">
        <w:rPr>
          <w:rFonts w:eastAsia="Times New Roman" w:cs="Arial"/>
        </w:rPr>
        <w:t>Announcement of available CDBG fund</w:t>
      </w:r>
      <w:r w:rsidR="00666429">
        <w:rPr>
          <w:rFonts w:eastAsia="Times New Roman" w:cs="Arial"/>
        </w:rPr>
        <w:t>ing was advertised on January 29, 2016</w:t>
      </w:r>
      <w:r w:rsidRPr="00701E9B">
        <w:rPr>
          <w:rFonts w:eastAsia="Times New Roman" w:cs="Arial"/>
        </w:rPr>
        <w:t xml:space="preserve">.  Interested agencies were able to submit applications until February </w:t>
      </w:r>
      <w:r w:rsidR="00666429">
        <w:rPr>
          <w:rFonts w:eastAsia="Times New Roman" w:cs="Arial"/>
        </w:rPr>
        <w:t>19</w:t>
      </w:r>
      <w:r w:rsidRPr="00701E9B">
        <w:rPr>
          <w:rFonts w:eastAsia="Times New Roman" w:cs="Arial"/>
        </w:rPr>
        <w:t>, 201</w:t>
      </w:r>
      <w:r w:rsidR="00666429">
        <w:rPr>
          <w:rFonts w:eastAsia="Times New Roman" w:cs="Arial"/>
        </w:rPr>
        <w:t>6</w:t>
      </w:r>
      <w:r w:rsidRPr="00701E9B">
        <w:rPr>
          <w:rFonts w:eastAsia="Times New Roman" w:cs="Arial"/>
        </w:rPr>
        <w:t>.  All applications for funding were required to address a priority need as identified in the Consolidated Plan.</w:t>
      </w:r>
    </w:p>
    <w:p w:rsidR="00504EA1" w:rsidRPr="00701E9B" w:rsidRDefault="00504EA1" w:rsidP="00504EA1">
      <w:pPr>
        <w:widowControl w:val="0"/>
        <w:spacing w:beforeAutospacing="1" w:afterAutospacing="1"/>
        <w:rPr>
          <w:rFonts w:eastAsia="Times New Roman" w:cs="Arial"/>
        </w:rPr>
      </w:pPr>
      <w:r w:rsidRPr="00701E9B">
        <w:rPr>
          <w:rFonts w:eastAsia="Times New Roman" w:cs="Arial"/>
        </w:rPr>
        <w:t>A draft of the Year 1</w:t>
      </w:r>
      <w:r w:rsidR="00666429">
        <w:rPr>
          <w:rFonts w:eastAsia="Times New Roman" w:cs="Arial"/>
        </w:rPr>
        <w:t>3</w:t>
      </w:r>
      <w:r w:rsidRPr="00701E9B">
        <w:rPr>
          <w:rFonts w:eastAsia="Times New Roman" w:cs="Arial"/>
        </w:rPr>
        <w:t xml:space="preserve"> Action Plan was made available for public review and comment from </w:t>
      </w:r>
      <w:r w:rsidR="00666429">
        <w:rPr>
          <w:rFonts w:eastAsia="Times New Roman" w:cs="Arial"/>
        </w:rPr>
        <w:t>March 30, 2016</w:t>
      </w:r>
      <w:r w:rsidRPr="00701E9B">
        <w:rPr>
          <w:rFonts w:eastAsia="Times New Roman" w:cs="Arial"/>
        </w:rPr>
        <w:t xml:space="preserve"> to April </w:t>
      </w:r>
      <w:r w:rsidR="00666429">
        <w:rPr>
          <w:rFonts w:eastAsia="Times New Roman" w:cs="Arial"/>
        </w:rPr>
        <w:t>28</w:t>
      </w:r>
      <w:r w:rsidRPr="00701E9B">
        <w:rPr>
          <w:rFonts w:eastAsia="Times New Roman" w:cs="Arial"/>
        </w:rPr>
        <w:t>, 201</w:t>
      </w:r>
      <w:r w:rsidR="00666429">
        <w:rPr>
          <w:rFonts w:eastAsia="Times New Roman" w:cs="Arial"/>
        </w:rPr>
        <w:t>6. The draft of the Year 13</w:t>
      </w:r>
      <w:r w:rsidRPr="00701E9B">
        <w:rPr>
          <w:rFonts w:eastAsia="Times New Roman" w:cs="Arial"/>
        </w:rPr>
        <w:t xml:space="preserve"> Action Plan was reviewed</w:t>
      </w:r>
      <w:r w:rsidR="00666429">
        <w:rPr>
          <w:rFonts w:eastAsia="Times New Roman" w:cs="Arial"/>
        </w:rPr>
        <w:t xml:space="preserve"> at a public hearing on April 19</w:t>
      </w:r>
      <w:r w:rsidRPr="00701E9B">
        <w:rPr>
          <w:rFonts w:eastAsia="Times New Roman" w:cs="Arial"/>
        </w:rPr>
        <w:t>, 201</w:t>
      </w:r>
      <w:r w:rsidR="00666429">
        <w:rPr>
          <w:rFonts w:eastAsia="Times New Roman" w:cs="Arial"/>
        </w:rPr>
        <w:t>6</w:t>
      </w:r>
      <w:r w:rsidRPr="00701E9B">
        <w:rPr>
          <w:rFonts w:eastAsia="Times New Roman" w:cs="Arial"/>
        </w:rPr>
        <w:t xml:space="preserve">.  </w:t>
      </w:r>
      <w:smartTag w:uri="urn:schemas-microsoft-com:office:smarttags" w:element="stockticker">
        <w:r w:rsidRPr="00701E9B">
          <w:rPr>
            <w:rFonts w:eastAsia="Times New Roman" w:cs="Arial"/>
          </w:rPr>
          <w:t>NCS</w:t>
        </w:r>
      </w:smartTag>
      <w:r w:rsidRPr="00701E9B">
        <w:rPr>
          <w:rFonts w:eastAsia="Times New Roman" w:cs="Arial"/>
        </w:rPr>
        <w:t xml:space="preserve"> staff reviewed the planning process, the agency application process and the Citizen Review Committee recommendations.  No comments were received at the hearing</w:t>
      </w:r>
      <w:r>
        <w:rPr>
          <w:rFonts w:eastAsia="Times New Roman" w:cs="Arial"/>
        </w:rPr>
        <w:t xml:space="preserve"> or during the comment period.  </w:t>
      </w:r>
      <w:r w:rsidRPr="00701E9B">
        <w:rPr>
          <w:rFonts w:eastAsia="Times New Roman" w:cs="Arial"/>
        </w:rPr>
        <w:t>The City Commission approved the Year 1</w:t>
      </w:r>
      <w:r w:rsidR="00BA3D64">
        <w:rPr>
          <w:rFonts w:eastAsia="Times New Roman" w:cs="Arial"/>
        </w:rPr>
        <w:t>3</w:t>
      </w:r>
      <w:r w:rsidRPr="00701E9B">
        <w:rPr>
          <w:rFonts w:eastAsia="Times New Roman" w:cs="Arial"/>
        </w:rPr>
        <w:t xml:space="preserve"> Action Plan on May </w:t>
      </w:r>
      <w:r w:rsidR="00BA3D64">
        <w:rPr>
          <w:rFonts w:eastAsia="Times New Roman" w:cs="Arial"/>
        </w:rPr>
        <w:t>3, 2016</w:t>
      </w:r>
      <w:r w:rsidRPr="00701E9B">
        <w:rPr>
          <w:rFonts w:eastAsia="Times New Roman" w:cs="Arial"/>
        </w:rPr>
        <w:t>.</w:t>
      </w:r>
    </w:p>
    <w:p w:rsidR="00504EA1" w:rsidRPr="00701E9B" w:rsidRDefault="00BA3D64" w:rsidP="00504EA1">
      <w:pPr>
        <w:widowControl w:val="0"/>
        <w:spacing w:beforeAutospacing="1" w:afterAutospacing="1"/>
        <w:rPr>
          <w:rFonts w:eastAsia="Times New Roman" w:cs="Arial"/>
        </w:rPr>
      </w:pPr>
      <w:r>
        <w:rPr>
          <w:rFonts w:eastAsia="Times New Roman" w:cs="Arial"/>
        </w:rPr>
        <w:t>The availability of the Year 13</w:t>
      </w:r>
      <w:r w:rsidR="00504EA1" w:rsidRPr="00701E9B">
        <w:rPr>
          <w:rFonts w:eastAsia="Times New Roman" w:cs="Arial"/>
        </w:rPr>
        <w:t xml:space="preserve"> CAPER was advertised on </w:t>
      </w:r>
      <w:proofErr w:type="spellStart"/>
      <w:r>
        <w:rPr>
          <w:rFonts w:eastAsia="Times New Roman" w:cs="Arial"/>
        </w:rPr>
        <w:t>Septembr</w:t>
      </w:r>
      <w:proofErr w:type="spellEnd"/>
      <w:r>
        <w:rPr>
          <w:rFonts w:eastAsia="Times New Roman" w:cs="Arial"/>
        </w:rPr>
        <w:t xml:space="preserve"> 7, 2017</w:t>
      </w:r>
      <w:r w:rsidR="00504EA1" w:rsidRPr="00701E9B">
        <w:rPr>
          <w:rFonts w:eastAsia="Times New Roman" w:cs="Arial"/>
        </w:rPr>
        <w:t>.  Citizens were encouraged to submit comments by Septemb</w:t>
      </w:r>
      <w:r>
        <w:rPr>
          <w:rFonts w:eastAsia="Times New Roman" w:cs="Arial"/>
        </w:rPr>
        <w:t>er 26</w:t>
      </w:r>
      <w:r w:rsidR="00504EA1" w:rsidRPr="00701E9B">
        <w:rPr>
          <w:rFonts w:eastAsia="Times New Roman" w:cs="Arial"/>
        </w:rPr>
        <w:t>, 2016. A public copy of the CAPER was made available in the Neighborhood and Community Services building and on the City’s website.   There were no public comments received. </w:t>
      </w:r>
    </w:p>
    <w:p w:rsidR="0011119D" w:rsidRDefault="00614B27">
      <w:pPr>
        <w:rPr>
          <w:b/>
          <w:i/>
          <w:sz w:val="28"/>
          <w:szCs w:val="28"/>
        </w:rPr>
      </w:pPr>
      <w:r>
        <w:rPr>
          <w:b/>
          <w:sz w:val="28"/>
          <w:szCs w:val="28"/>
        </w:rPr>
        <w:t>CR-45 - CDBG 91.520(c)</w:t>
      </w:r>
    </w:p>
    <w:p w:rsidR="0011119D" w:rsidRDefault="00614B27">
      <w:pPr>
        <w:widowControl w:val="0"/>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rsidR="00BA3D64" w:rsidRPr="00701E9B" w:rsidRDefault="00BA3D64" w:rsidP="00BA3D64">
      <w:pPr>
        <w:widowControl w:val="0"/>
        <w:rPr>
          <w:rFonts w:eastAsia="Times New Roman"/>
          <w:b/>
          <w:sz w:val="24"/>
          <w:szCs w:val="24"/>
        </w:rPr>
      </w:pPr>
      <w:r w:rsidRPr="00701E9B">
        <w:rPr>
          <w:rFonts w:eastAsia="Times New Roman" w:cs="Arial"/>
        </w:rPr>
        <w:t>The City has not changed any program objectives.  The City has completed a Neighborhood Revitalization Strategy Area plan to gain greater flexibility within the CDBG requirements to address neighborhood revitalization needs.</w:t>
      </w:r>
    </w:p>
    <w:p w:rsidR="0011119D" w:rsidRDefault="00614B27">
      <w:pPr>
        <w:widowControl w:val="0"/>
        <w:rPr>
          <w:b/>
          <w:sz w:val="24"/>
          <w:szCs w:val="24"/>
        </w:rPr>
      </w:pPr>
      <w:r>
        <w:rPr>
          <w:b/>
          <w:sz w:val="24"/>
          <w:szCs w:val="24"/>
        </w:rPr>
        <w:t>Does this Jurisdiction have any open Brownfields Economic Development Initiative (BEDI) grants?</w:t>
      </w:r>
    </w:p>
    <w:p w:rsidR="00BA3D64" w:rsidRPr="00BA3D64" w:rsidRDefault="00BA3D64">
      <w:pPr>
        <w:widowControl w:val="0"/>
        <w:rPr>
          <w:sz w:val="24"/>
          <w:szCs w:val="24"/>
        </w:rPr>
      </w:pPr>
      <w:r w:rsidRPr="00BA3D64">
        <w:rPr>
          <w:sz w:val="24"/>
          <w:szCs w:val="24"/>
        </w:rPr>
        <w:t>No</w:t>
      </w:r>
    </w:p>
    <w:p w:rsidR="0011119D" w:rsidRDefault="00614B27">
      <w:pPr>
        <w:widowControl w:val="0"/>
        <w:rPr>
          <w:b/>
          <w:sz w:val="24"/>
          <w:szCs w:val="24"/>
        </w:rPr>
      </w:pPr>
      <w:r>
        <w:rPr>
          <w:b/>
          <w:sz w:val="24"/>
          <w:szCs w:val="24"/>
        </w:rPr>
        <w:t xml:space="preserve"> [BEDI grantees]  Describe accomplishments and program outcomes during the last year.</w:t>
      </w:r>
    </w:p>
    <w:p w:rsidR="0011119D" w:rsidRDefault="00BA3D64">
      <w:r>
        <w:t>Not applicable.</w:t>
      </w:r>
    </w:p>
    <w:p w:rsidR="0011119D" w:rsidRDefault="0011119D"/>
    <w:p w:rsidR="0011119D" w:rsidRDefault="0011119D"/>
    <w:sectPr w:rsidR="0011119D">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CC0" w:rsidRDefault="006A6CC0">
      <w:r>
        <w:separator/>
      </w:r>
    </w:p>
  </w:endnote>
  <w:endnote w:type="continuationSeparator" w:id="0">
    <w:p w:rsidR="006A6CC0" w:rsidRDefault="006A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0B26B2">
      <w:trPr>
        <w:jc w:val="center"/>
      </w:trPr>
      <w:tc>
        <w:tcPr>
          <w:tcW w:w="828" w:type="dxa"/>
        </w:tcPr>
        <w:p w:rsidR="000B26B2" w:rsidRDefault="000B26B2">
          <w:pPr>
            <w:pStyle w:val="Footer"/>
            <w:spacing w:after="0" w:line="240" w:lineRule="auto"/>
            <w:jc w:val="center"/>
          </w:pPr>
        </w:p>
      </w:tc>
      <w:tc>
        <w:tcPr>
          <w:tcW w:w="7976" w:type="dxa"/>
        </w:tcPr>
        <w:p w:rsidR="000B26B2" w:rsidRDefault="000B26B2">
          <w:pPr>
            <w:pStyle w:val="Footer"/>
            <w:spacing w:after="0" w:line="240" w:lineRule="auto"/>
            <w:jc w:val="center"/>
          </w:pPr>
          <w:r>
            <w:t>CAPER</w:t>
          </w:r>
        </w:p>
      </w:tc>
      <w:tc>
        <w:tcPr>
          <w:tcW w:w="772" w:type="dxa"/>
        </w:tcPr>
        <w:p w:rsidR="000B26B2" w:rsidRDefault="000B26B2">
          <w:pPr>
            <w:pStyle w:val="Footer"/>
            <w:spacing w:after="0" w:line="240" w:lineRule="auto"/>
            <w:jc w:val="right"/>
          </w:pPr>
          <w:r>
            <w:fldChar w:fldCharType="begin"/>
          </w:r>
          <w:r>
            <w:instrText>page</w:instrText>
          </w:r>
          <w:r>
            <w:fldChar w:fldCharType="separate"/>
          </w:r>
          <w:r w:rsidR="000B0FC5">
            <w:rPr>
              <w:noProof/>
            </w:rPr>
            <w:t>4</w:t>
          </w:r>
          <w:r>
            <w:fldChar w:fldCharType="end"/>
          </w:r>
        </w:p>
      </w:tc>
    </w:tr>
  </w:tbl>
  <w:p w:rsidR="000B26B2" w:rsidRDefault="000B26B2">
    <w:pPr>
      <w:pStyle w:val="Footer"/>
      <w:spacing w:before="120" w:after="0"/>
      <w:rPr>
        <w:b/>
        <w:i/>
        <w:sz w:val="16"/>
      </w:rPr>
    </w:pPr>
    <w:r>
      <w:rPr>
        <w:rFonts w:cs="Arial"/>
        <w:color w:val="000000"/>
        <w:sz w:val="16"/>
      </w:rPr>
      <w:t xml:space="preserve">OMB Control No: 2506-0117 (exp. </w:t>
    </w:r>
    <w:smartTag w:uri="urn:schemas-microsoft-com:office:smarttags" w:element="date">
      <w:smartTagPr>
        <w:attr w:name="Month" w:val="7"/>
        <w:attr w:name="Day" w:val="31"/>
        <w:attr w:name="Year" w:val="2015"/>
      </w:smartTagPr>
      <w:r>
        <w:rPr>
          <w:rFonts w:cs="Arial"/>
          <w:color w:val="000000"/>
          <w:sz w:val="16"/>
        </w:rPr>
        <w:t>07/31/2015</w:t>
      </w:r>
    </w:smartTag>
    <w:r>
      <w:rPr>
        <w:rFonts w:cs="Arial"/>
        <w:color w:val="000000"/>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1E0" w:firstRow="1" w:lastRow="1" w:firstColumn="1" w:lastColumn="1" w:noHBand="0" w:noVBand="0"/>
    </w:tblPr>
    <w:tblGrid>
      <w:gridCol w:w="828"/>
      <w:gridCol w:w="7976"/>
      <w:gridCol w:w="772"/>
    </w:tblGrid>
    <w:tr w:rsidR="000C7B92">
      <w:trPr>
        <w:jc w:val="center"/>
      </w:trPr>
      <w:tc>
        <w:tcPr>
          <w:tcW w:w="828" w:type="dxa"/>
        </w:tcPr>
        <w:p w:rsidR="000C7B92" w:rsidRDefault="000C7B92">
          <w:pPr>
            <w:pStyle w:val="Footer"/>
            <w:spacing w:after="0" w:line="240" w:lineRule="auto"/>
            <w:jc w:val="center"/>
          </w:pPr>
        </w:p>
      </w:tc>
      <w:tc>
        <w:tcPr>
          <w:tcW w:w="7976" w:type="dxa"/>
        </w:tcPr>
        <w:p w:rsidR="000C7B92" w:rsidRDefault="000C7B92">
          <w:pPr>
            <w:pStyle w:val="Footer"/>
            <w:spacing w:after="0" w:line="240" w:lineRule="auto"/>
            <w:jc w:val="center"/>
          </w:pPr>
          <w:r>
            <w:t>CAPER</w:t>
          </w:r>
        </w:p>
      </w:tc>
      <w:tc>
        <w:tcPr>
          <w:tcW w:w="772" w:type="dxa"/>
        </w:tcPr>
        <w:p w:rsidR="000C7B92" w:rsidRDefault="000C7B92">
          <w:pPr>
            <w:pStyle w:val="Footer"/>
            <w:spacing w:after="0" w:line="240" w:lineRule="auto"/>
            <w:jc w:val="right"/>
          </w:pPr>
          <w:r>
            <w:fldChar w:fldCharType="begin"/>
          </w:r>
          <w:r>
            <w:instrText>page</w:instrText>
          </w:r>
          <w:r>
            <w:fldChar w:fldCharType="separate"/>
          </w:r>
          <w:r w:rsidR="000B0FC5">
            <w:rPr>
              <w:noProof/>
            </w:rPr>
            <w:t>19</w:t>
          </w:r>
          <w:r>
            <w:fldChar w:fldCharType="end"/>
          </w:r>
        </w:p>
      </w:tc>
    </w:tr>
  </w:tbl>
  <w:p w:rsidR="000C7B92" w:rsidRDefault="000C7B92">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CC0" w:rsidRDefault="006A6CC0">
      <w:r>
        <w:separator/>
      </w:r>
    </w:p>
  </w:footnote>
  <w:footnote w:type="continuationSeparator" w:id="0">
    <w:p w:rsidR="006A6CC0" w:rsidRDefault="006A6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8537744"/>
    <w:multiLevelType w:val="hybridMultilevel"/>
    <w:tmpl w:val="616270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6"/>
  </w:num>
  <w:num w:numId="14">
    <w:abstractNumId w:val="14"/>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2E74"/>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B6"/>
    <w:rsid w:val="000B0148"/>
    <w:rsid w:val="000B05D4"/>
    <w:rsid w:val="000B0735"/>
    <w:rsid w:val="000B0FC5"/>
    <w:rsid w:val="000B1705"/>
    <w:rsid w:val="000B26B2"/>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C7B92"/>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19D"/>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6EE"/>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4CE3"/>
    <w:rsid w:val="00236F35"/>
    <w:rsid w:val="00236F9D"/>
    <w:rsid w:val="002375B4"/>
    <w:rsid w:val="00240369"/>
    <w:rsid w:val="00240AEF"/>
    <w:rsid w:val="0024397D"/>
    <w:rsid w:val="00243BB2"/>
    <w:rsid w:val="0024409B"/>
    <w:rsid w:val="00244529"/>
    <w:rsid w:val="00244EDB"/>
    <w:rsid w:val="0024534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AF"/>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97718"/>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01C9"/>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0B1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A1"/>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47C3"/>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4B27"/>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4314"/>
    <w:rsid w:val="006651FC"/>
    <w:rsid w:val="00665241"/>
    <w:rsid w:val="00665277"/>
    <w:rsid w:val="006655A4"/>
    <w:rsid w:val="0066565D"/>
    <w:rsid w:val="0066591D"/>
    <w:rsid w:val="00666429"/>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6CC0"/>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5E21"/>
    <w:rsid w:val="006C7539"/>
    <w:rsid w:val="006C7D23"/>
    <w:rsid w:val="006D1BF1"/>
    <w:rsid w:val="006D2513"/>
    <w:rsid w:val="006D34BA"/>
    <w:rsid w:val="006D3F29"/>
    <w:rsid w:val="006D3FDB"/>
    <w:rsid w:val="006D4845"/>
    <w:rsid w:val="006D64BB"/>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2F4C"/>
    <w:rsid w:val="00764377"/>
    <w:rsid w:val="007649B9"/>
    <w:rsid w:val="00765FC2"/>
    <w:rsid w:val="00770B75"/>
    <w:rsid w:val="007714FF"/>
    <w:rsid w:val="00771668"/>
    <w:rsid w:val="007724C7"/>
    <w:rsid w:val="00772BE1"/>
    <w:rsid w:val="007730F1"/>
    <w:rsid w:val="007737B6"/>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45CE"/>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C6C2D"/>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AF7"/>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546"/>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5F6B"/>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667"/>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66B7D"/>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D64"/>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0341"/>
    <w:rsid w:val="00C82706"/>
    <w:rsid w:val="00C82A59"/>
    <w:rsid w:val="00C82A62"/>
    <w:rsid w:val="00C82B82"/>
    <w:rsid w:val="00C83B74"/>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960"/>
    <w:rsid w:val="00CD4B5B"/>
    <w:rsid w:val="00CD5893"/>
    <w:rsid w:val="00CD63BE"/>
    <w:rsid w:val="00CD68B7"/>
    <w:rsid w:val="00CD7B3C"/>
    <w:rsid w:val="00CD7D80"/>
    <w:rsid w:val="00CD7E5D"/>
    <w:rsid w:val="00CE0E1C"/>
    <w:rsid w:val="00CE1B42"/>
    <w:rsid w:val="00CE25A8"/>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647A"/>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595"/>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62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3135"/>
    <w:rsid w:val="00EA47C5"/>
    <w:rsid w:val="00EA556F"/>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48C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docId w15:val="{53D1D2C0-3955-45EF-ADB0-9647B07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D0647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 w:type="paragraph" w:styleId="ListParagraph">
    <w:name w:val="List Paragraph"/>
    <w:basedOn w:val="Normal"/>
    <w:uiPriority w:val="34"/>
    <w:qFormat/>
    <w:rsid w:val="00397718"/>
    <w:pPr>
      <w:ind w:left="720"/>
      <w:contextualSpacing/>
    </w:pPr>
  </w:style>
  <w:style w:type="character" w:styleId="Emphasis">
    <w:name w:val="Emphasis"/>
    <w:basedOn w:val="DefaultParagraphFont"/>
    <w:qFormat/>
    <w:locked/>
    <w:rsid w:val="00D0647A"/>
    <w:rPr>
      <w:i/>
      <w:iCs/>
    </w:rPr>
  </w:style>
  <w:style w:type="character" w:customStyle="1" w:styleId="Heading3Char">
    <w:name w:val="Heading 3 Char"/>
    <w:basedOn w:val="DefaultParagraphFont"/>
    <w:link w:val="Heading3"/>
    <w:rsid w:val="00D0647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B891E12-E20C-413B-B534-58F484DA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5145</Words>
  <Characters>29328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34405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Nick Cook</cp:lastModifiedBy>
  <cp:revision>12</cp:revision>
  <cp:lastPrinted>2017-09-14T16:27:00Z</cp:lastPrinted>
  <dcterms:created xsi:type="dcterms:W3CDTF">2017-09-11T18:42:00Z</dcterms:created>
  <dcterms:modified xsi:type="dcterms:W3CDTF">2017-09-14T16:27:00Z</dcterms:modified>
</cp:coreProperties>
</file>